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阿坝州人民医院</w:t>
      </w:r>
    </w:p>
    <w:p>
      <w:pPr>
        <w:ind w:left="420" w:leftChars="200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2022年1--6月运营情况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2022年上半年医院总收入13265万元，其中：医疗收入10060万元，财政补助收入3164万元（其中专项381万元），其他收入41万元。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总支出13135万元，其中：事业支出12834万元，财政专项支出301万元。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上半年医院总收支结余130万元，其中：事业结余（扣除财政专项）49万元，按照政府会计制度规定，财政项目补助收支不纳入事业结余中核算。</w:t>
      </w:r>
    </w:p>
    <w:p>
      <w:pPr>
        <w:ind w:left="420" w:leftChars="200"/>
        <w:jc w:val="lef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一、收入情况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（一）上半年总收入情况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上半年总收入：13265万元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华文仿宋" w:hAnsi="华文仿宋" w:eastAsia="华文仿宋"/>
          <w:sz w:val="32"/>
          <w:szCs w:val="32"/>
        </w:rPr>
        <w:t>其中：医疗收入10060万元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财政人员经费补助收入3164万元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财政专项补助381万元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银行利息收入4.10万元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其他收入37.32</w:t>
      </w:r>
    </w:p>
    <w:p>
      <w:pPr>
        <w:ind w:left="420" w:leftChars="200"/>
        <w:jc w:val="left"/>
        <w:rPr>
          <w:rFonts w:ascii="宋体" w:hAnsi="宋体" w:eastAsia="宋体" w:cs="宋体"/>
          <w:sz w:val="28"/>
          <w:szCs w:val="28"/>
        </w:rPr>
      </w:pP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drawing>
          <wp:inline distT="0" distB="0" distL="0" distR="0">
            <wp:extent cx="4572000" cy="2743200"/>
            <wp:effectExtent l="19050" t="0" r="1905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ind w:left="420" w:leftChars="200"/>
        <w:jc w:val="left"/>
        <w:rPr>
          <w:rFonts w:ascii="仿宋" w:hAnsi="仿宋" w:eastAsia="楷体_GB2312"/>
          <w:sz w:val="32"/>
          <w:szCs w:val="32"/>
        </w:rPr>
      </w:pP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本年与上年同期相比收入总额增加：760.76万元，其中：财政人员经费拨款增加111.47万元、增长4.17%；财政项目补助收入增加361.96万元；事业收入增加402.84万元、增长4.17%；利息收入增加0.35万元、增长9.32%；其他收入减少13.28万元、减少26.24%。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drawing>
          <wp:inline distT="0" distB="0" distL="0" distR="0">
            <wp:extent cx="4572000" cy="2743200"/>
            <wp:effectExtent l="19050" t="0" r="1905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ind w:left="420" w:leftChars="200"/>
        <w:jc w:val="left"/>
        <w:rPr>
          <w:rFonts w:ascii="仿宋" w:hAnsi="仿宋" w:eastAsia="楷体_GB2312"/>
          <w:sz w:val="32"/>
          <w:szCs w:val="32"/>
        </w:rPr>
      </w:pP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本年与上年同期相比收入结构有所变化：财政补助占比增加2.34个百分点，医疗收入减少1.39个百分点，其他收入减少0.12个百分点，说明医院对财政投入的依存度增加。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（二）医疗收入情况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上半年医疗收入10059万元、与上年同期相比收入增加403万元、增长4.17%</w:t>
      </w:r>
    </w:p>
    <w:p>
      <w:pPr>
        <w:ind w:left="420" w:leftChars="200"/>
        <w:jc w:val="left"/>
        <w:rPr>
          <w:rFonts w:ascii="仿宋" w:hAnsi="仿宋" w:eastAsia="楷体_GB2312"/>
          <w:sz w:val="32"/>
          <w:szCs w:val="32"/>
        </w:rPr>
      </w:pPr>
      <w:r>
        <w:rPr>
          <w:rFonts w:ascii="仿宋" w:hAnsi="仿宋" w:eastAsia="楷体_GB2312"/>
          <w:sz w:val="32"/>
          <w:szCs w:val="32"/>
        </w:rPr>
        <w:drawing>
          <wp:inline distT="0" distB="0" distL="0" distR="0">
            <wp:extent cx="4572000" cy="2743200"/>
            <wp:effectExtent l="19050" t="0" r="1905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ind w:left="420" w:leftChars="200"/>
        <w:jc w:val="left"/>
        <w:rPr>
          <w:rFonts w:ascii="仿宋" w:hAnsi="仿宋" w:eastAsia="楷体_GB2312"/>
          <w:sz w:val="32"/>
          <w:szCs w:val="32"/>
        </w:rPr>
      </w:pP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今年上半年与上年同期医疗收入相比，其中：检查收入1563万元、与上年同期相比收入增加33万元、增长2.14%；化验收入1491万元、与上年同期相比收入减少16万元、下降1.05%；卫材收入912万元、与上年同期相比收入增加97.90万元、增长12.03%；药品收入1991万元、与上年同期相比收入减少149万元、下降6.95%；医务性收入4102万元、与上年同期相比收入增加436万元、增长0.75%。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drawing>
          <wp:inline distT="0" distB="0" distL="0" distR="0">
            <wp:extent cx="4572000" cy="2743200"/>
            <wp:effectExtent l="19050" t="0" r="1905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今年上半年与上年同期相比收入结构变化情况：医务性收入占比增加2.82个百分点，卫材收入占比增加0.64个百分点，药品收入占比减少2.37个百分点，化验收入占比减少0.78个百分点，检查收入占比减少0.31个百分点。</w:t>
      </w:r>
    </w:p>
    <w:tbl>
      <w:tblPr>
        <w:tblStyle w:val="5"/>
        <w:tblW w:w="7513" w:type="dxa"/>
        <w:tblInd w:w="4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701"/>
        <w:gridCol w:w="1559"/>
        <w:gridCol w:w="993"/>
        <w:gridCol w:w="1003"/>
        <w:gridCol w:w="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医疗项目细分（万元）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2022年1--6月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2021年1--6月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增加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增长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57" w:hRule="atLeast"/>
        </w:trPr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挂号收入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8.66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8.85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-0.19 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-2.10%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76" w:hRule="atLeast"/>
        </w:trPr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诊察收入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369.25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328.56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40.68 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12.38%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5" w:hRule="atLeast"/>
        </w:trPr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检查收入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1,562.90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1,530.17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32.73 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2.14%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5" w:hRule="atLeast"/>
        </w:trPr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化验收入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1,491.31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1,507.17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-15.87 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-1.05%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5" w:hRule="atLeast"/>
        </w:trPr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治疗收入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2,222.61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1,916.70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305.92 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15.96%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5" w:hRule="atLeast"/>
        </w:trPr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卫材收入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911.63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813.72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97.90 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12.03%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25" w:hRule="atLeast"/>
        </w:trPr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药品收入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1,991.30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2,140.06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-148.76 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-6.95%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5" w:hRule="atLeast"/>
        </w:trPr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床位收入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349.49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332.86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16.62 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4.99%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5" w:hRule="atLeast"/>
        </w:trPr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手术收入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688.58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687.32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1.26 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0.18%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5" w:hRule="atLeast"/>
        </w:trPr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护理收入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262.13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218.60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43.53 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19.91%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5" w:hRule="atLeast"/>
        </w:trPr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其他门诊收入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76.37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48.29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28.08 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58.14%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5" w:hRule="atLeast"/>
        </w:trPr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其他住院收入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125.46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124.53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0.93 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0.75%</w:t>
            </w:r>
          </w:p>
        </w:tc>
      </w:tr>
    </w:tbl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从医疗项目收入细分看，今年上半年护理收入、治疗收入、诊察收入同比增长19.91%、15.96%和12.38%，床位收入增长4.99%，检查收入增长2.14%，手术收入基本持平，化验收入和挂号收入略有下降，药品和耗材收入执行零差价，医院需加强运行成本管控，降低资源耗用。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其他门诊和住院收入主要包括救护车费、调温费、取暖费等。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(三）其他收入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" w:hAnsi="仿宋" w:eastAsia="楷体_GB2312"/>
          <w:sz w:val="32"/>
          <w:szCs w:val="32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上半年与上年同期相比其他收入减少13.28万元、减少26.24%，其中：实习费增加5.83万元，停车费减少8.93万元、供应室外消收入减少4.45万元。</w:t>
      </w:r>
    </w:p>
    <w:p>
      <w:pPr>
        <w:ind w:left="420" w:leftChars="200"/>
        <w:jc w:val="lef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二、支出情况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（一）上半年总体支出情况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上半年总支出：13293万元</w:t>
      </w:r>
    </w:p>
    <w:p>
      <w:pPr>
        <w:ind w:left="420" w:left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其中：事业支出12992万元</w:t>
      </w:r>
    </w:p>
    <w:p>
      <w:pPr>
        <w:ind w:left="420" w:left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财政专项补助支出301万元</w:t>
      </w:r>
    </w:p>
    <w:p>
      <w:pPr>
        <w:ind w:left="420" w:left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drawing>
          <wp:inline distT="0" distB="0" distL="0" distR="0">
            <wp:extent cx="4572000" cy="2743200"/>
            <wp:effectExtent l="19050" t="0" r="19050" b="0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今年上半年总支出比上年同期增加819万元、增长6.57%，事业支出增加571万元、增长4.6%，财政专项补助支出（财政专项收支单独核算，不计入事业收支结余核算）增加248万元。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（二）事业支出情况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1、人员经费支出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今年上半年人员经费支出7021万元、比上年同期增加759万元、增长12.13%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其中：工资福利支出6473万元、比上年同期增加451万元、增长7.61%；对个人和家庭的补助支出548万元、增加208万元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</w:t>
      </w:r>
      <w:r>
        <w:rPr>
          <w:rFonts w:ascii="华文仿宋" w:hAnsi="华文仿宋" w:eastAsia="华文仿宋"/>
          <w:sz w:val="32"/>
          <w:szCs w:val="32"/>
        </w:rPr>
        <w:drawing>
          <wp:inline distT="0" distB="0" distL="0" distR="0">
            <wp:extent cx="4572000" cy="2743200"/>
            <wp:effectExtent l="19050" t="0" r="19050" b="0"/>
            <wp:docPr id="9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工资福利支出增加451万元，主要原因：编内人员工资津贴增加156万元，编外工资增加27万元，绩效工资增加336万元,</w:t>
      </w:r>
      <w:r>
        <w:rPr>
          <w:rFonts w:hint="eastAsia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>伙食补助增加30万元，住房公积金增加8万元,</w:t>
      </w:r>
      <w:r>
        <w:rPr>
          <w:rFonts w:hint="eastAsia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>社会保障费减少7万元。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对个人和家庭的补助支出增加208万元，原因：离退休人员生活补贴（目标奖）增加。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2、商品和服务支出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今年上半年商品和服务支出4663万元、比上年同期减少86万元，其中：卫生材料费1862万元、比上年同期增加140万元，药品费1996万元、比上年同期减少137万元，日常运行费804万元、比上年同期减少88万元。</w:t>
      </w:r>
    </w:p>
    <w:tbl>
      <w:tblPr>
        <w:tblStyle w:val="5"/>
        <w:tblW w:w="9077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840"/>
        <w:gridCol w:w="100"/>
        <w:gridCol w:w="740"/>
        <w:gridCol w:w="160"/>
        <w:gridCol w:w="680"/>
        <w:gridCol w:w="80"/>
        <w:gridCol w:w="740"/>
        <w:gridCol w:w="116"/>
        <w:gridCol w:w="724"/>
        <w:gridCol w:w="116"/>
        <w:gridCol w:w="856"/>
        <w:gridCol w:w="84"/>
        <w:gridCol w:w="850"/>
        <w:gridCol w:w="909"/>
        <w:gridCol w:w="170"/>
        <w:gridCol w:w="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2" w:type="dxa"/>
          <w:trHeight w:val="630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日常运行费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办公费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印刷费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水费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电费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邮电费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物业管理费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差旅费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维修（护）费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2" w:type="dxa"/>
          <w:trHeight w:val="270" w:hRule="atLeast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1-6月支出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9.37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4.32 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138.54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25.35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242.89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36.24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154.41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2" w:type="dxa"/>
          <w:trHeight w:val="270" w:hRule="atLeast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同比上年增减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1.53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-3.21 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-77.92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14.42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6.88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-5.08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-22.15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日常运行费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培训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公务接待费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专用燃料费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劳务费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委托业务费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救护车运行维护费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公务车运行维护费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医疗废物处置费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总务材料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1-6月支出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15.23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16.15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7.33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27.58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27.46 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8.32 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47.90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30.23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同比上年增减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-9.98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-0.33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-6.12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-2.44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11.29 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2.71 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17.86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-10.77 </w:t>
            </w:r>
          </w:p>
        </w:tc>
      </w:tr>
    </w:tbl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日常运行支出增加的主要有邮电费14.42万元、物业管理费6.88万元、医废处理费17.86万元、车辆运行维护费14万元、办公费1.53万元等，减少的主要是水电费81.13万元(水费减少3.2万元、电费减少65万元、扣回垫付职工水电费12.56万元）、差旅费5.08万元、维修费22.15万元、培训费9.98万元、总务材料费10.77万元等。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3、资产（固定资产和无形资产）折旧费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今年上半年资产折旧费1325.61万元、比上年同期减少74.99万元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4、其他支出</w:t>
      </w:r>
    </w:p>
    <w:p>
      <w:pPr>
        <w:ind w:left="420" w:left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其他支出94.60万元，为医保处罚款，比上年同期增加85.37万元。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A"/>
    <w:rsid w:val="00051D11"/>
    <w:rsid w:val="00051DAD"/>
    <w:rsid w:val="0008533D"/>
    <w:rsid w:val="00095EE4"/>
    <w:rsid w:val="000B4EC4"/>
    <w:rsid w:val="000B74C5"/>
    <w:rsid w:val="00132F02"/>
    <w:rsid w:val="001474B8"/>
    <w:rsid w:val="00152B2B"/>
    <w:rsid w:val="00162496"/>
    <w:rsid w:val="001D6091"/>
    <w:rsid w:val="001E08A8"/>
    <w:rsid w:val="0021056A"/>
    <w:rsid w:val="00217C84"/>
    <w:rsid w:val="002344D1"/>
    <w:rsid w:val="00252BE3"/>
    <w:rsid w:val="00273659"/>
    <w:rsid w:val="003006AA"/>
    <w:rsid w:val="00337642"/>
    <w:rsid w:val="00376806"/>
    <w:rsid w:val="00397D8C"/>
    <w:rsid w:val="003D18E1"/>
    <w:rsid w:val="003F4232"/>
    <w:rsid w:val="00423E9F"/>
    <w:rsid w:val="00430D80"/>
    <w:rsid w:val="00467B80"/>
    <w:rsid w:val="004B6CED"/>
    <w:rsid w:val="004C48C9"/>
    <w:rsid w:val="00506DB9"/>
    <w:rsid w:val="00515713"/>
    <w:rsid w:val="0052068B"/>
    <w:rsid w:val="00563191"/>
    <w:rsid w:val="005904C0"/>
    <w:rsid w:val="005B7F75"/>
    <w:rsid w:val="006432F0"/>
    <w:rsid w:val="006D4CC0"/>
    <w:rsid w:val="006D6384"/>
    <w:rsid w:val="00742DCD"/>
    <w:rsid w:val="00762227"/>
    <w:rsid w:val="007651D3"/>
    <w:rsid w:val="007C43FF"/>
    <w:rsid w:val="007F1919"/>
    <w:rsid w:val="007F1E6A"/>
    <w:rsid w:val="00804F2A"/>
    <w:rsid w:val="00832F7D"/>
    <w:rsid w:val="00856569"/>
    <w:rsid w:val="008569E3"/>
    <w:rsid w:val="008B7882"/>
    <w:rsid w:val="00930D6D"/>
    <w:rsid w:val="00941772"/>
    <w:rsid w:val="00942591"/>
    <w:rsid w:val="009528E6"/>
    <w:rsid w:val="00973FFC"/>
    <w:rsid w:val="00977B2F"/>
    <w:rsid w:val="0098634B"/>
    <w:rsid w:val="0098693C"/>
    <w:rsid w:val="009B080C"/>
    <w:rsid w:val="00A91C42"/>
    <w:rsid w:val="00A9648E"/>
    <w:rsid w:val="00B003BA"/>
    <w:rsid w:val="00B01A14"/>
    <w:rsid w:val="00B20E2C"/>
    <w:rsid w:val="00B25311"/>
    <w:rsid w:val="00B26F0E"/>
    <w:rsid w:val="00B660A0"/>
    <w:rsid w:val="00B759CA"/>
    <w:rsid w:val="00B76D1B"/>
    <w:rsid w:val="00BC6CE1"/>
    <w:rsid w:val="00BD0E1B"/>
    <w:rsid w:val="00BE745F"/>
    <w:rsid w:val="00BF1059"/>
    <w:rsid w:val="00C53582"/>
    <w:rsid w:val="00C57627"/>
    <w:rsid w:val="00C72034"/>
    <w:rsid w:val="00C84C06"/>
    <w:rsid w:val="00C93B99"/>
    <w:rsid w:val="00D226CC"/>
    <w:rsid w:val="00D44500"/>
    <w:rsid w:val="00D464DC"/>
    <w:rsid w:val="00D608FF"/>
    <w:rsid w:val="00DF3077"/>
    <w:rsid w:val="00E23C65"/>
    <w:rsid w:val="00E33D61"/>
    <w:rsid w:val="00E4248C"/>
    <w:rsid w:val="00EA78B1"/>
    <w:rsid w:val="00EE4113"/>
    <w:rsid w:val="00FA1EFB"/>
    <w:rsid w:val="00FE28F3"/>
    <w:rsid w:val="00FE4966"/>
    <w:rsid w:val="790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\&#36130;&#21153;&#31185;\&#36130;&#21153;&#20998;&#26512;\2022&#24180;\&#25253;&#34920;2022&#24180;6&#26376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\&#36130;&#21153;&#31185;\&#36130;&#21153;&#20998;&#26512;\2022&#24180;\&#25253;&#34920;2022&#24180;6&#26376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\&#36130;&#21153;&#31185;\&#36130;&#21153;&#20998;&#26512;\2022&#24180;\&#25253;&#34920;2022&#24180;6&#26376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\&#36130;&#21153;&#31185;\&#36130;&#21153;&#20998;&#26512;\2022&#24180;\&#25253;&#34920;2022&#24180;6&#26376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\&#36130;&#21153;&#31185;\&#36130;&#21153;&#20998;&#26512;\2022&#24180;\&#25253;&#34920;2022&#24180;6&#26376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\&#36130;&#21153;&#31185;\&#36130;&#21153;&#20998;&#26512;\2022&#24180;\&#25253;&#34920;2022&#24180;6&#2637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收支总表!$O$3</c:f>
              <c:strCache>
                <c:ptCount val="1"/>
                <c:pt idx="0">
                  <c:v>2022年1--6月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收支总表!$N$4:$N$8</c:f>
              <c:strCache>
                <c:ptCount val="5"/>
                <c:pt idx="0">
                  <c:v>总收入</c:v>
                </c:pt>
                <c:pt idx="1">
                  <c:v>    财政补贴收入</c:v>
                </c:pt>
                <c:pt idx="2">
                  <c:v>    事业收入</c:v>
                </c:pt>
                <c:pt idx="3">
                  <c:v>　　利息收入　　</c:v>
                </c:pt>
                <c:pt idx="4">
                  <c:v>　　其他收入　　</c:v>
                </c:pt>
              </c:strCache>
            </c:strRef>
          </c:cat>
          <c:val>
            <c:numRef>
              <c:f>收支总表!$O$4:$O$8</c:f>
              <c:numCache>
                <c:formatCode>#,##0.00_ </c:formatCode>
                <c:ptCount val="5"/>
                <c:pt idx="0">
                  <c:v>13264.754201</c:v>
                </c:pt>
                <c:pt idx="1">
                  <c:v>3163.654085</c:v>
                </c:pt>
                <c:pt idx="2">
                  <c:v>10059.681533</c:v>
                </c:pt>
                <c:pt idx="3">
                  <c:v>4.09548299999999</c:v>
                </c:pt>
                <c:pt idx="4">
                  <c:v>37.3231</c:v>
                </c:pt>
              </c:numCache>
            </c:numRef>
          </c:val>
        </c:ser>
        <c:ser>
          <c:idx val="1"/>
          <c:order val="1"/>
          <c:tx>
            <c:strRef>
              <c:f>收支总表!$P$3</c:f>
              <c:strCache>
                <c:ptCount val="1"/>
                <c:pt idx="0">
                  <c:v>2021年1--6月</c:v>
                </c:pt>
              </c:strCache>
            </c:strRef>
          </c:tx>
          <c:invertIfNegative val="0"/>
          <c:dLbls>
            <c:delete val="1"/>
          </c:dLbls>
          <c:cat>
            <c:strRef>
              <c:f>收支总表!$N$4:$N$8</c:f>
              <c:strCache>
                <c:ptCount val="5"/>
                <c:pt idx="0">
                  <c:v>总收入</c:v>
                </c:pt>
                <c:pt idx="1">
                  <c:v>    财政补贴收入</c:v>
                </c:pt>
                <c:pt idx="2">
                  <c:v>    事业收入</c:v>
                </c:pt>
                <c:pt idx="3">
                  <c:v>　　利息收入　　</c:v>
                </c:pt>
                <c:pt idx="4">
                  <c:v>　　其他收入　　</c:v>
                </c:pt>
              </c:strCache>
            </c:strRef>
          </c:cat>
          <c:val>
            <c:numRef>
              <c:f>收支总表!$P$4:$P$8</c:f>
              <c:numCache>
                <c:formatCode>#,##0.00_ </c:formatCode>
                <c:ptCount val="5"/>
                <c:pt idx="0">
                  <c:v>12503.99143</c:v>
                </c:pt>
                <c:pt idx="1">
                  <c:v>2690.231758</c:v>
                </c:pt>
                <c:pt idx="2">
                  <c:v>9656.84478700001</c:v>
                </c:pt>
                <c:pt idx="3">
                  <c:v>3.746385</c:v>
                </c:pt>
                <c:pt idx="4">
                  <c:v>50.5989000000001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356992"/>
        <c:axId val="114358528"/>
      </c:barChart>
      <c:catAx>
        <c:axId val="1143569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4358528"/>
        <c:crosses val="autoZero"/>
        <c:auto val="1"/>
        <c:lblAlgn val="ctr"/>
        <c:lblOffset val="100"/>
        <c:noMultiLvlLbl val="0"/>
      </c:catAx>
      <c:valAx>
        <c:axId val="114358528"/>
        <c:scaling>
          <c:orientation val="minMax"/>
        </c:scaling>
        <c:delete val="0"/>
        <c:axPos val="l"/>
        <c:majorGridlines/>
        <c:numFmt formatCode="#,##0.0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435699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2022</a:t>
            </a:r>
            <a:r>
              <a:rPr lang="zh-CN" altLang="en-US"/>
              <a:t>年</a:t>
            </a:r>
            <a:r>
              <a:rPr lang="en-US" altLang="zh-CN"/>
              <a:t>1--6</a:t>
            </a:r>
            <a:r>
              <a:rPr lang="zh-CN" altLang="en-US"/>
              <a:t>月总收入</a:t>
            </a:r>
            <a:endParaRPr lang="zh-CN" altLang="en-U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收支总表!$I$21</c:f>
              <c:strCache>
                <c:ptCount val="1"/>
                <c:pt idx="0">
                  <c:v>2022年1--6月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收支总表!$H$22:$H$24</c:f>
              <c:strCache>
                <c:ptCount val="3"/>
                <c:pt idx="0">
                  <c:v>    财政补贴收入</c:v>
                </c:pt>
                <c:pt idx="1">
                  <c:v>    医疗收入</c:v>
                </c:pt>
                <c:pt idx="2">
                  <c:v>　　其他收入　　</c:v>
                </c:pt>
              </c:strCache>
            </c:strRef>
          </c:cat>
          <c:val>
            <c:numRef>
              <c:f>收支总表!$I$22:$I$24</c:f>
              <c:numCache>
                <c:formatCode>0.00%</c:formatCode>
                <c:ptCount val="3"/>
                <c:pt idx="0">
                  <c:v>0.238500769562809</c:v>
                </c:pt>
                <c:pt idx="1">
                  <c:v>0.75837677657394</c:v>
                </c:pt>
                <c:pt idx="2">
                  <c:v>0.00312245386325196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收入对比!$O$51</c:f>
              <c:strCache>
                <c:ptCount val="1"/>
                <c:pt idx="0">
                  <c:v>2022年1--6月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收入对比!$N$52:$N$57</c:f>
              <c:strCache>
                <c:ptCount val="5"/>
                <c:pt idx="0">
                  <c:v>检查收入</c:v>
                </c:pt>
                <c:pt idx="1">
                  <c:v>化验收入</c:v>
                </c:pt>
                <c:pt idx="2">
                  <c:v>卫材收入</c:v>
                </c:pt>
                <c:pt idx="3">
                  <c:v>药品收入</c:v>
                </c:pt>
                <c:pt idx="4">
                  <c:v>医务性收入</c:v>
                </c:pt>
              </c:strCache>
            </c:strRef>
          </c:cat>
          <c:val>
            <c:numRef>
              <c:f>收入对比!$O$52:$O$57</c:f>
              <c:numCache>
                <c:formatCode>#,##0;[Red]\-#,##0</c:formatCode>
                <c:ptCount val="5"/>
                <c:pt idx="0">
                  <c:v>1562.901691</c:v>
                </c:pt>
                <c:pt idx="1">
                  <c:v>1491.30729</c:v>
                </c:pt>
                <c:pt idx="2">
                  <c:v>911.625666999999</c:v>
                </c:pt>
                <c:pt idx="3">
                  <c:v>1991.303004</c:v>
                </c:pt>
                <c:pt idx="4">
                  <c:v>4102.543881</c:v>
                </c:pt>
              </c:numCache>
            </c:numRef>
          </c:val>
        </c:ser>
        <c:ser>
          <c:idx val="1"/>
          <c:order val="1"/>
          <c:tx>
            <c:strRef>
              <c:f>收入对比!$P$51</c:f>
              <c:strCache>
                <c:ptCount val="1"/>
                <c:pt idx="0">
                  <c:v>2021年1--6月</c:v>
                </c:pt>
              </c:strCache>
            </c:strRef>
          </c:tx>
          <c:invertIfNegative val="0"/>
          <c:dLbls>
            <c:delete val="1"/>
          </c:dLbls>
          <c:cat>
            <c:strRef>
              <c:f>收入对比!$N$52:$N$57</c:f>
              <c:strCache>
                <c:ptCount val="5"/>
                <c:pt idx="0">
                  <c:v>检查收入</c:v>
                </c:pt>
                <c:pt idx="1">
                  <c:v>化验收入</c:v>
                </c:pt>
                <c:pt idx="2">
                  <c:v>卫材收入</c:v>
                </c:pt>
                <c:pt idx="3">
                  <c:v>药品收入</c:v>
                </c:pt>
                <c:pt idx="4">
                  <c:v>医务性收入</c:v>
                </c:pt>
              </c:strCache>
            </c:strRef>
          </c:cat>
          <c:val>
            <c:numRef>
              <c:f>收入对比!$P$52:$P$57</c:f>
              <c:numCache>
                <c:formatCode>#,##0;[Red]\-#,##0</c:formatCode>
                <c:ptCount val="5"/>
                <c:pt idx="0">
                  <c:v>1530.173519</c:v>
                </c:pt>
                <c:pt idx="1">
                  <c:v>1507.172905</c:v>
                </c:pt>
                <c:pt idx="2">
                  <c:v>813.722154999999</c:v>
                </c:pt>
                <c:pt idx="3">
                  <c:v>2140.063225</c:v>
                </c:pt>
                <c:pt idx="4">
                  <c:v>3665.712983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281344"/>
        <c:axId val="116282880"/>
      </c:barChart>
      <c:catAx>
        <c:axId val="1162813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6282880"/>
        <c:crosses val="autoZero"/>
        <c:auto val="1"/>
        <c:lblAlgn val="ctr"/>
        <c:lblOffset val="100"/>
        <c:noMultiLvlLbl val="0"/>
      </c:catAx>
      <c:valAx>
        <c:axId val="116282880"/>
        <c:scaling>
          <c:orientation val="minMax"/>
        </c:scaling>
        <c:delete val="0"/>
        <c:axPos val="l"/>
        <c:majorGridlines/>
        <c:numFmt formatCode="#,##0;[Red]\-#,##0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628134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收入对比!$N$60:$N$64</c:f>
              <c:strCache>
                <c:ptCount val="5"/>
                <c:pt idx="0">
                  <c:v>检查收入</c:v>
                </c:pt>
                <c:pt idx="1">
                  <c:v>化验收入</c:v>
                </c:pt>
                <c:pt idx="2">
                  <c:v>卫材收入</c:v>
                </c:pt>
                <c:pt idx="3">
                  <c:v>药品收入</c:v>
                </c:pt>
                <c:pt idx="4">
                  <c:v>医务性收入</c:v>
                </c:pt>
              </c:strCache>
            </c:strRef>
          </c:cat>
          <c:val>
            <c:numRef>
              <c:f>收入对比!$O$60:$O$64</c:f>
              <c:numCache>
                <c:formatCode>0.00%</c:formatCode>
                <c:ptCount val="5"/>
                <c:pt idx="0">
                  <c:v>0.15536293926135</c:v>
                </c:pt>
                <c:pt idx="1">
                  <c:v>0.148245974299274</c:v>
                </c:pt>
                <c:pt idx="2">
                  <c:v>0.0906217223685945</c:v>
                </c:pt>
                <c:pt idx="3">
                  <c:v>0.197948910953859</c:v>
                </c:pt>
                <c:pt idx="4">
                  <c:v>0.407820453116923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收支总表!$B$32</c:f>
              <c:strCache>
                <c:ptCount val="1"/>
                <c:pt idx="0">
                  <c:v>2022年1--6月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收支总表!$A$33:$A$35</c:f>
              <c:strCache>
                <c:ptCount val="3"/>
                <c:pt idx="0">
                  <c:v>总支出</c:v>
                </c:pt>
                <c:pt idx="1">
                  <c:v>事业支出</c:v>
                </c:pt>
                <c:pt idx="2">
                  <c:v>财政项目补助支出</c:v>
                </c:pt>
              </c:strCache>
            </c:strRef>
          </c:cat>
          <c:val>
            <c:numRef>
              <c:f>收支总表!$B$33:$B$35</c:f>
              <c:numCache>
                <c:formatCode>#,##0_ </c:formatCode>
                <c:ptCount val="3"/>
                <c:pt idx="0">
                  <c:v>13293</c:v>
                </c:pt>
                <c:pt idx="1">
                  <c:v>12992</c:v>
                </c:pt>
                <c:pt idx="2">
                  <c:v>301</c:v>
                </c:pt>
              </c:numCache>
            </c:numRef>
          </c:val>
        </c:ser>
        <c:ser>
          <c:idx val="1"/>
          <c:order val="1"/>
          <c:tx>
            <c:strRef>
              <c:f>收支总表!$C$32</c:f>
              <c:strCache>
                <c:ptCount val="1"/>
                <c:pt idx="0">
                  <c:v>2021年1--6月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收支总表!$A$33:$A$35</c:f>
              <c:strCache>
                <c:ptCount val="3"/>
                <c:pt idx="0">
                  <c:v>总支出</c:v>
                </c:pt>
                <c:pt idx="1">
                  <c:v>事业支出</c:v>
                </c:pt>
                <c:pt idx="2">
                  <c:v>财政项目补助支出</c:v>
                </c:pt>
              </c:strCache>
            </c:strRef>
          </c:cat>
          <c:val>
            <c:numRef>
              <c:f>收支总表!$C$33:$C$35</c:f>
              <c:numCache>
                <c:formatCode>#,##0_ </c:formatCode>
                <c:ptCount val="3"/>
                <c:pt idx="0">
                  <c:v>12474</c:v>
                </c:pt>
                <c:pt idx="1">
                  <c:v>12421</c:v>
                </c:pt>
                <c:pt idx="2">
                  <c:v>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7411840"/>
        <c:axId val="117413376"/>
      </c:barChart>
      <c:catAx>
        <c:axId val="117411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7413376"/>
        <c:crosses val="autoZero"/>
        <c:auto val="1"/>
        <c:lblAlgn val="ctr"/>
        <c:lblOffset val="100"/>
        <c:noMultiLvlLbl val="0"/>
      </c:catAx>
      <c:valAx>
        <c:axId val="117413376"/>
        <c:scaling>
          <c:orientation val="minMax"/>
        </c:scaling>
        <c:delete val="0"/>
        <c:axPos val="l"/>
        <c:majorGridlines/>
        <c:numFmt formatCode="#,##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741184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Sheet1!$L$8</c:f>
              <c:strCache>
                <c:ptCount val="1"/>
                <c:pt idx="0">
                  <c:v>2022年1-6工资福利支出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Sheet1!$K$9:$K$14</c:f>
              <c:strCache>
                <c:ptCount val="6"/>
                <c:pt idx="0">
                  <c:v>    编内工资津贴</c:v>
                </c:pt>
                <c:pt idx="1">
                  <c:v>    编外工资</c:v>
                </c:pt>
                <c:pt idx="2">
                  <c:v>    绩效工资</c:v>
                </c:pt>
                <c:pt idx="3">
                  <c:v>    伙食补助费</c:v>
                </c:pt>
                <c:pt idx="4">
                  <c:v>    社会保障费</c:v>
                </c:pt>
                <c:pt idx="5">
                  <c:v>    住房公积金</c:v>
                </c:pt>
              </c:strCache>
            </c:strRef>
          </c:cat>
          <c:val>
            <c:numRef>
              <c:f>Sheet1!$L$9:$L$14</c:f>
              <c:numCache>
                <c:formatCode>#,##0_ </c:formatCode>
                <c:ptCount val="6"/>
                <c:pt idx="0">
                  <c:v>1319.165422</c:v>
                </c:pt>
                <c:pt idx="1">
                  <c:v>355.022006</c:v>
                </c:pt>
                <c:pt idx="2">
                  <c:v>2900.9342</c:v>
                </c:pt>
                <c:pt idx="3">
                  <c:v>96.0369</c:v>
                </c:pt>
                <c:pt idx="4">
                  <c:v>1295.13505</c:v>
                </c:pt>
                <c:pt idx="5">
                  <c:v>506.2375</c:v>
                </c:pt>
              </c:numCache>
            </c:numRef>
          </c:val>
        </c:ser>
        <c:ser>
          <c:idx val="1"/>
          <c:order val="1"/>
          <c:tx>
            <c:strRef>
              <c:f>Sheet1!$M$8</c:f>
              <c:strCache>
                <c:ptCount val="1"/>
                <c:pt idx="0">
                  <c:v>2021年1-6月工资福利支出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Sheet1!$K$9:$K$14</c:f>
              <c:strCache>
                <c:ptCount val="6"/>
                <c:pt idx="0">
                  <c:v>    编内工资津贴</c:v>
                </c:pt>
                <c:pt idx="1">
                  <c:v>    编外工资</c:v>
                </c:pt>
                <c:pt idx="2">
                  <c:v>    绩效工资</c:v>
                </c:pt>
                <c:pt idx="3">
                  <c:v>    伙食补助费</c:v>
                </c:pt>
                <c:pt idx="4">
                  <c:v>    社会保障费</c:v>
                </c:pt>
                <c:pt idx="5">
                  <c:v>    住房公积金</c:v>
                </c:pt>
              </c:strCache>
            </c:strRef>
          </c:cat>
          <c:val>
            <c:numRef>
              <c:f>Sheet1!$M$9:$M$14</c:f>
              <c:numCache>
                <c:formatCode>#,##0_ </c:formatCode>
                <c:ptCount val="6"/>
                <c:pt idx="0">
                  <c:v>1163.172797</c:v>
                </c:pt>
                <c:pt idx="1">
                  <c:v>327.964006</c:v>
                </c:pt>
                <c:pt idx="2">
                  <c:v>2565.607832</c:v>
                </c:pt>
                <c:pt idx="3">
                  <c:v>66.012</c:v>
                </c:pt>
                <c:pt idx="4">
                  <c:v>1301.645894</c:v>
                </c:pt>
                <c:pt idx="5">
                  <c:v>497.408799999999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007296"/>
        <c:axId val="160008832"/>
      </c:barChart>
      <c:catAx>
        <c:axId val="1600072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0008832"/>
        <c:crosses val="autoZero"/>
        <c:auto val="1"/>
        <c:lblAlgn val="ctr"/>
        <c:lblOffset val="100"/>
        <c:noMultiLvlLbl val="0"/>
      </c:catAx>
      <c:valAx>
        <c:axId val="160008832"/>
        <c:scaling>
          <c:orientation val="minMax"/>
        </c:scaling>
        <c:delete val="0"/>
        <c:axPos val="l"/>
        <c:majorGridlines/>
        <c:numFmt formatCode="#,##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000729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437</Words>
  <Characters>2497</Characters>
  <Lines>20</Lines>
  <Paragraphs>5</Paragraphs>
  <TotalTime>2</TotalTime>
  <ScaleCrop>false</ScaleCrop>
  <LinksUpToDate>false</LinksUpToDate>
  <CharactersWithSpaces>2929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2022-08-10T08:42:00Z</dcterms:created>
  <dc:creator>lenovo</dc:creator>
  <cp:lastModifiedBy>Administrator</cp:lastModifiedBy>
  <dcterms:modified xsi:type="dcterms:W3CDTF">2022-08-11T03:46:13Z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6F0BB04AD7D1421798A78A6BFCC2FE08</vt:lpwstr>
  </property>
</Properties>
</file>