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120" w:firstLineChars="3400"/>
        <w:jc w:val="center"/>
        <w:rPr>
          <w:rFonts w:hint="eastAsia"/>
          <w:sz w:val="18"/>
        </w:rPr>
      </w:pPr>
    </w:p>
    <w:p>
      <w:pPr>
        <w:ind w:firstLine="6120" w:firstLineChars="3400"/>
        <w:jc w:val="center"/>
        <w:rPr>
          <w:rFonts w:hint="eastAsia"/>
          <w:sz w:val="18"/>
        </w:rPr>
      </w:pPr>
    </w:p>
    <w:p>
      <w:pPr>
        <w:ind w:firstLine="6120" w:firstLineChars="3400"/>
        <w:jc w:val="center"/>
        <w:rPr>
          <w:sz w:val="18"/>
        </w:rPr>
      </w:pPr>
    </w:p>
    <w:p>
      <w:pPr>
        <w:jc w:val="left"/>
        <w:rPr>
          <w:rFonts w:hint="eastAsia" w:ascii="华文中宋" w:hAnsi="华文中宋" w:eastAsia="华文中宋" w:cs="华文中宋"/>
          <w:color w:val="000000"/>
          <w:sz w:val="32"/>
          <w:szCs w:val="32"/>
          <w:highlight w:val="none"/>
        </w:rPr>
      </w:pPr>
      <w:r>
        <w:rPr>
          <w:rFonts w:hint="eastAsia" w:ascii="华文中宋" w:hAnsi="华文中宋" w:eastAsia="华文中宋" w:cs="华文中宋"/>
          <w:color w:val="000000"/>
          <w:sz w:val="32"/>
          <w:szCs w:val="32"/>
          <w:highlight w:val="none"/>
        </w:rPr>
        <w:t>附件1：</w:t>
      </w:r>
    </w:p>
    <w:p>
      <w:pPr>
        <w:adjustRightInd w:val="0"/>
        <w:snapToGrid w:val="0"/>
        <w:spacing w:line="360" w:lineRule="auto"/>
        <w:jc w:val="center"/>
        <w:rPr>
          <w:rFonts w:ascii="宋体" w:hAnsi="宋体" w:cs="Arial"/>
          <w:b/>
          <w:bCs/>
          <w:color w:val="000000"/>
          <w:kern w:val="0"/>
          <w:sz w:val="24"/>
          <w:szCs w:val="32"/>
          <w:highlight w:val="none"/>
        </w:rPr>
      </w:pPr>
      <w:r>
        <w:rPr>
          <w:rFonts w:hint="eastAsia" w:ascii="宋体" w:hAnsi="宋体" w:cs="Arial"/>
          <w:b/>
          <w:bCs/>
          <w:color w:val="000000"/>
          <w:kern w:val="0"/>
          <w:sz w:val="24"/>
          <w:szCs w:val="32"/>
          <w:highlight w:val="none"/>
        </w:rPr>
        <w:t>住院医师规范化培训管理系统 功能市场调查响应表（厂家提供）</w:t>
      </w:r>
    </w:p>
    <w:p>
      <w:pPr>
        <w:ind w:left="-460" w:leftChars="-540" w:hanging="674" w:hangingChars="305"/>
        <w:jc w:val="left"/>
        <w:rPr>
          <w:rFonts w:hint="eastAsia" w:ascii="宋体" w:hAnsi="宋体"/>
          <w:color w:val="000000"/>
          <w:sz w:val="22"/>
          <w:szCs w:val="32"/>
          <w:highlight w:val="none"/>
        </w:rPr>
      </w:pPr>
      <w:r>
        <w:rPr>
          <w:rFonts w:hint="eastAsia" w:ascii="宋体" w:hAnsi="宋体"/>
          <w:b/>
          <w:color w:val="000000"/>
          <w:sz w:val="22"/>
          <w:szCs w:val="32"/>
          <w:highlight w:val="none"/>
        </w:rPr>
        <w:t>**</w:t>
      </w:r>
      <w:r>
        <w:rPr>
          <w:rFonts w:hint="eastAsia" w:ascii="宋体" w:hAnsi="宋体"/>
          <w:color w:val="000000"/>
          <w:sz w:val="22"/>
          <w:szCs w:val="32"/>
          <w:highlight w:val="none"/>
        </w:rPr>
        <w:t>注：①“</w:t>
      </w:r>
      <w:r>
        <w:rPr>
          <w:rFonts w:hint="eastAsia" w:ascii="宋体" w:hAnsi="宋体"/>
          <w:b/>
          <w:color w:val="000000"/>
          <w:sz w:val="22"/>
          <w:szCs w:val="32"/>
          <w:highlight w:val="none"/>
        </w:rPr>
        <w:t>性能要求</w:t>
      </w:r>
      <w:r>
        <w:rPr>
          <w:rFonts w:hint="eastAsia" w:ascii="宋体" w:hAnsi="宋体"/>
          <w:color w:val="000000"/>
          <w:sz w:val="22"/>
          <w:szCs w:val="32"/>
          <w:highlight w:val="none"/>
        </w:rPr>
        <w:t>”一列中，如有括弧“（）”处请在“</w:t>
      </w:r>
      <w:r>
        <w:rPr>
          <w:rFonts w:hint="eastAsia" w:ascii="宋体" w:hAnsi="宋体"/>
          <w:b/>
          <w:color w:val="000000"/>
          <w:sz w:val="22"/>
          <w:szCs w:val="32"/>
          <w:highlight w:val="none"/>
        </w:rPr>
        <w:t>技术响应</w:t>
      </w:r>
      <w:r>
        <w:rPr>
          <w:rFonts w:hint="eastAsia" w:ascii="宋体" w:hAnsi="宋体"/>
          <w:color w:val="000000"/>
          <w:sz w:val="22"/>
          <w:szCs w:val="32"/>
          <w:highlight w:val="none"/>
        </w:rPr>
        <w:t>”一列中填写数值，其他位置一一对应填写正偏离/响应/负偏离； ②参数及性能要求不倾向任何一家，仅做参考，如有与各厂家描述不同处，请各厂家在“</w:t>
      </w:r>
      <w:r>
        <w:rPr>
          <w:rFonts w:hint="eastAsia" w:ascii="宋体" w:hAnsi="宋体"/>
          <w:b/>
          <w:color w:val="000000"/>
          <w:sz w:val="22"/>
          <w:szCs w:val="32"/>
          <w:highlight w:val="none"/>
        </w:rPr>
        <w:t>说明</w:t>
      </w:r>
      <w:r>
        <w:rPr>
          <w:rFonts w:hint="eastAsia" w:ascii="宋体" w:hAnsi="宋体"/>
          <w:color w:val="000000"/>
          <w:sz w:val="22"/>
          <w:szCs w:val="32"/>
          <w:highlight w:val="none"/>
        </w:rPr>
        <w:t>”一列中进行各自阐述；</w:t>
      </w:r>
      <w:r>
        <w:rPr>
          <w:rFonts w:hint="eastAsia" w:ascii="宋体" w:hAnsi="宋体"/>
          <w:b/>
          <w:color w:val="000000"/>
          <w:sz w:val="22"/>
          <w:szCs w:val="32"/>
          <w:highlight w:val="none"/>
        </w:rPr>
        <w:t>**</w:t>
      </w:r>
    </w:p>
    <w:tbl>
      <w:tblPr>
        <w:tblStyle w:val="2"/>
        <w:tblW w:w="1115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144"/>
        <w:gridCol w:w="1276"/>
        <w:gridCol w:w="284"/>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936" w:type="dxa"/>
            <w:noWrap w:val="0"/>
            <w:vAlign w:val="center"/>
          </w:tcPr>
          <w:p>
            <w:pPr>
              <w:widowControl/>
              <w:adjustRightInd w:val="0"/>
              <w:snapToGrid w:val="0"/>
              <w:jc w:val="center"/>
              <w:rPr>
                <w:rFonts w:ascii="宋体" w:hAnsi="宋体"/>
                <w:b/>
                <w:bCs/>
                <w:color w:val="000000"/>
                <w:kern w:val="0"/>
                <w:sz w:val="24"/>
                <w:highlight w:val="none"/>
              </w:rPr>
            </w:pPr>
            <w:r>
              <w:rPr>
                <w:rFonts w:ascii="宋体" w:hAnsi="宋体"/>
                <w:b/>
                <w:bCs/>
                <w:color w:val="000000"/>
                <w:kern w:val="0"/>
                <w:sz w:val="24"/>
                <w:highlight w:val="none"/>
              </w:rPr>
              <w:t>序号</w:t>
            </w:r>
          </w:p>
        </w:tc>
        <w:tc>
          <w:tcPr>
            <w:tcW w:w="7144" w:type="dxa"/>
            <w:noWrap w:val="0"/>
            <w:vAlign w:val="center"/>
          </w:tcPr>
          <w:p>
            <w:pPr>
              <w:widowControl/>
              <w:adjustRightInd w:val="0"/>
              <w:snapToGrid w:val="0"/>
              <w:jc w:val="center"/>
              <w:rPr>
                <w:rFonts w:ascii="宋体" w:hAnsi="宋体"/>
                <w:b/>
                <w:bCs/>
                <w:color w:val="000000"/>
                <w:kern w:val="0"/>
                <w:sz w:val="24"/>
                <w:highlight w:val="none"/>
              </w:rPr>
            </w:pPr>
            <w:r>
              <w:rPr>
                <w:rFonts w:hint="eastAsia" w:ascii="宋体" w:hAnsi="宋体"/>
                <w:b/>
                <w:bCs/>
                <w:color w:val="000000"/>
                <w:kern w:val="0"/>
                <w:sz w:val="24"/>
                <w:highlight w:val="none"/>
              </w:rPr>
              <w:t>性能要求</w:t>
            </w:r>
          </w:p>
        </w:tc>
        <w:tc>
          <w:tcPr>
            <w:tcW w:w="1276" w:type="dxa"/>
            <w:noWrap w:val="0"/>
            <w:vAlign w:val="center"/>
          </w:tcPr>
          <w:p>
            <w:pPr>
              <w:widowControl/>
              <w:adjustRightInd w:val="0"/>
              <w:snapToGrid w:val="0"/>
              <w:jc w:val="center"/>
              <w:rPr>
                <w:rFonts w:ascii="宋体" w:hAnsi="宋体"/>
                <w:b/>
                <w:bCs/>
                <w:color w:val="000000"/>
                <w:kern w:val="0"/>
                <w:sz w:val="24"/>
                <w:highlight w:val="none"/>
              </w:rPr>
            </w:pPr>
            <w:r>
              <w:rPr>
                <w:rFonts w:ascii="宋体" w:hAnsi="宋体"/>
                <w:b/>
                <w:bCs/>
                <w:color w:val="000000"/>
                <w:kern w:val="0"/>
                <w:sz w:val="24"/>
                <w:highlight w:val="none"/>
              </w:rPr>
              <w:t>技术响应</w:t>
            </w:r>
          </w:p>
          <w:p>
            <w:pPr>
              <w:widowControl/>
              <w:adjustRightInd w:val="0"/>
              <w:snapToGrid w:val="0"/>
              <w:jc w:val="center"/>
              <w:rPr>
                <w:rFonts w:ascii="宋体" w:hAnsi="宋体"/>
                <w:b/>
                <w:bCs/>
                <w:color w:val="000000"/>
                <w:kern w:val="0"/>
                <w:sz w:val="24"/>
                <w:highlight w:val="none"/>
              </w:rPr>
            </w:pPr>
            <w:r>
              <w:rPr>
                <w:rFonts w:hint="eastAsia" w:ascii="宋体" w:hAnsi="宋体" w:cs="宋体"/>
                <w:b/>
                <w:bCs/>
                <w:color w:val="000000"/>
                <w:kern w:val="0"/>
                <w:sz w:val="22"/>
                <w:highlight w:val="none"/>
              </w:rPr>
              <w:t>（填写数值/正偏离/响应/负偏离）</w:t>
            </w:r>
          </w:p>
        </w:tc>
        <w:tc>
          <w:tcPr>
            <w:tcW w:w="1795" w:type="dxa"/>
            <w:gridSpan w:val="2"/>
            <w:noWrap w:val="0"/>
            <w:vAlign w:val="center"/>
          </w:tcPr>
          <w:p>
            <w:pPr>
              <w:widowControl/>
              <w:adjustRightInd w:val="0"/>
              <w:snapToGrid w:val="0"/>
              <w:jc w:val="center"/>
              <w:rPr>
                <w:rFonts w:ascii="宋体" w:hAnsi="宋体"/>
                <w:b/>
                <w:bCs/>
                <w:color w:val="000000"/>
                <w:kern w:val="0"/>
                <w:sz w:val="24"/>
                <w:highlight w:val="none"/>
              </w:rPr>
            </w:pPr>
            <w:r>
              <w:rPr>
                <w:rFonts w:hint="eastAsia" w:ascii="宋体" w:hAnsi="宋体"/>
                <w:b/>
                <w:bCs/>
                <w:color w:val="000000"/>
                <w:kern w:val="0"/>
                <w:sz w:val="24"/>
                <w:highlight w:val="none"/>
              </w:rPr>
              <w:t>说明</w:t>
            </w:r>
          </w:p>
          <w:p>
            <w:pPr>
              <w:widowControl/>
              <w:adjustRightInd w:val="0"/>
              <w:snapToGrid w:val="0"/>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(填写提供型号的每点相应具体说明）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noWrap w:val="0"/>
            <w:vAlign w:val="center"/>
          </w:tcPr>
          <w:p>
            <w:pPr>
              <w:widowControl/>
              <w:adjustRightInd w:val="0"/>
              <w:snapToGrid w:val="0"/>
              <w:rPr>
                <w:rFonts w:hint="eastAsia" w:ascii="微软雅黑" w:hAnsi="微软雅黑" w:eastAsia="微软雅黑" w:cs="微软雅黑"/>
                <w:b/>
                <w:bCs/>
                <w:color w:val="000000"/>
                <w:kern w:val="0"/>
                <w:sz w:val="22"/>
                <w:szCs w:val="21"/>
                <w:highlight w:val="none"/>
              </w:rPr>
            </w:pPr>
          </w:p>
        </w:tc>
        <w:tc>
          <w:tcPr>
            <w:tcW w:w="7144" w:type="dxa"/>
            <w:noWrap w:val="0"/>
            <w:vAlign w:val="center"/>
          </w:tcPr>
          <w:p>
            <w:pPr>
              <w:widowControl/>
              <w:adjustRightInd w:val="0"/>
              <w:snapToGrid w:val="0"/>
              <w:rPr>
                <w:rFonts w:hint="eastAsia" w:ascii="微软雅黑" w:hAnsi="微软雅黑" w:eastAsia="微软雅黑" w:cs="微软雅黑"/>
                <w:b/>
                <w:bCs/>
                <w:color w:val="000000"/>
                <w:kern w:val="0"/>
                <w:sz w:val="22"/>
                <w:szCs w:val="21"/>
                <w:highlight w:val="none"/>
              </w:rPr>
            </w:pPr>
            <w:r>
              <w:rPr>
                <w:rFonts w:hint="eastAsia" w:ascii="微软雅黑" w:hAnsi="微软雅黑" w:eastAsia="微软雅黑" w:cs="微软雅黑"/>
                <w:b/>
                <w:bCs/>
                <w:color w:val="000000"/>
                <w:kern w:val="0"/>
                <w:sz w:val="22"/>
                <w:szCs w:val="21"/>
                <w:highlight w:val="none"/>
              </w:rPr>
              <w:t>请提供推荐的型号</w:t>
            </w:r>
          </w:p>
        </w:tc>
        <w:tc>
          <w:tcPr>
            <w:tcW w:w="3071" w:type="dxa"/>
            <w:gridSpan w:val="3"/>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36" w:type="dxa"/>
            <w:noWrap w:val="0"/>
            <w:vAlign w:val="center"/>
          </w:tcPr>
          <w:p>
            <w:pPr>
              <w:widowControl/>
              <w:adjustRightInd w:val="0"/>
              <w:snapToGrid w:val="0"/>
              <w:spacing w:before="156" w:beforeLines="50" w:after="156" w:afterLines="50"/>
              <w:rPr>
                <w:rFonts w:hint="eastAsia" w:ascii="宋体" w:hAnsi="宋体" w:cs="微软雅黑"/>
                <w:b/>
                <w:bCs/>
                <w:color w:val="000000"/>
                <w:kern w:val="0"/>
                <w:sz w:val="22"/>
                <w:szCs w:val="21"/>
                <w:highlight w:val="none"/>
              </w:rPr>
            </w:pPr>
            <w:r>
              <w:rPr>
                <w:rFonts w:hint="eastAsia" w:ascii="宋体" w:hAnsi="宋体" w:cs="微软雅黑"/>
                <w:b/>
                <w:bCs/>
                <w:color w:val="000000"/>
                <w:kern w:val="0"/>
                <w:sz w:val="22"/>
                <w:szCs w:val="21"/>
                <w:highlight w:val="none"/>
              </w:rPr>
              <w:t>1</w:t>
            </w:r>
          </w:p>
        </w:tc>
        <w:tc>
          <w:tcPr>
            <w:tcW w:w="7144" w:type="dxa"/>
            <w:noWrap w:val="0"/>
            <w:vAlign w:val="center"/>
          </w:tcPr>
          <w:p>
            <w:pPr>
              <w:spacing w:before="156" w:beforeLines="50" w:after="156" w:afterLines="50"/>
              <w:rPr>
                <w:rFonts w:hint="eastAsia" w:ascii="宋体" w:hAnsi="宋体"/>
                <w:b/>
                <w:color w:val="000000"/>
                <w:sz w:val="22"/>
                <w:highlight w:val="none"/>
              </w:rPr>
            </w:pPr>
            <w:r>
              <w:rPr>
                <w:rFonts w:hint="eastAsia" w:ascii="宋体" w:hAnsi="宋体"/>
                <w:b/>
                <w:color w:val="000000"/>
                <w:sz w:val="22"/>
                <w:highlight w:val="none"/>
              </w:rPr>
              <w:t>主要功能：</w:t>
            </w:r>
          </w:p>
          <w:p>
            <w:pPr>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用途：实现住院医师规范化培训的线上管理。</w:t>
            </w:r>
          </w:p>
          <w:p>
            <w:pPr>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适用范围：住院医师规范化培训基地；住院医师规范化培训专业基地；住院医师规范化培训带教老师；住院医师规范化培训学员。</w:t>
            </w:r>
          </w:p>
        </w:tc>
        <w:tc>
          <w:tcPr>
            <w:tcW w:w="1560" w:type="dxa"/>
            <w:gridSpan w:val="2"/>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c>
          <w:tcPr>
            <w:tcW w:w="1511" w:type="dxa"/>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36" w:type="dxa"/>
            <w:noWrap w:val="0"/>
            <w:vAlign w:val="center"/>
          </w:tcPr>
          <w:p>
            <w:pPr>
              <w:widowControl/>
              <w:adjustRightInd w:val="0"/>
              <w:snapToGrid w:val="0"/>
              <w:spacing w:before="156" w:beforeLines="50" w:after="156" w:afterLines="50"/>
              <w:rPr>
                <w:rFonts w:hint="eastAsia" w:ascii="宋体" w:hAnsi="宋体" w:cs="微软雅黑"/>
                <w:b/>
                <w:bCs/>
                <w:color w:val="000000"/>
                <w:kern w:val="0"/>
                <w:sz w:val="22"/>
                <w:szCs w:val="21"/>
                <w:highlight w:val="none"/>
              </w:rPr>
            </w:pPr>
            <w:r>
              <w:rPr>
                <w:rFonts w:hint="eastAsia" w:ascii="宋体" w:hAnsi="宋体" w:cs="微软雅黑"/>
                <w:b/>
                <w:bCs/>
                <w:color w:val="000000"/>
                <w:kern w:val="0"/>
                <w:sz w:val="22"/>
                <w:szCs w:val="21"/>
                <w:highlight w:val="none"/>
              </w:rPr>
              <w:t>2</w:t>
            </w:r>
          </w:p>
        </w:tc>
        <w:tc>
          <w:tcPr>
            <w:tcW w:w="7144" w:type="dxa"/>
            <w:noWrap w:val="0"/>
            <w:vAlign w:val="center"/>
          </w:tcPr>
          <w:p>
            <w:pPr>
              <w:ind w:firstLine="420" w:firstLineChars="200"/>
              <w:jc w:val="left"/>
              <w:rPr>
                <w:rFonts w:ascii="宋体" w:hAnsi="宋体"/>
                <w:color w:val="000000"/>
                <w:szCs w:val="21"/>
                <w:highlight w:val="none"/>
              </w:rPr>
            </w:pPr>
            <w:r>
              <w:rPr>
                <w:rFonts w:hint="eastAsia" w:ascii="宋体" w:hAnsi="宋体"/>
                <w:color w:val="000000"/>
                <w:szCs w:val="21"/>
                <w:highlight w:val="none"/>
              </w:rPr>
              <w:t>一、平台管理</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1、采用B</w:t>
            </w:r>
            <w:r>
              <w:rPr>
                <w:rFonts w:ascii="宋体" w:hAnsi="宋体"/>
                <w:color w:val="000000"/>
                <w:szCs w:val="21"/>
                <w:highlight w:val="none"/>
              </w:rPr>
              <w:t>/S</w:t>
            </w:r>
            <w:r>
              <w:rPr>
                <w:rFonts w:hint="eastAsia" w:ascii="宋体" w:hAnsi="宋体"/>
                <w:color w:val="000000"/>
                <w:szCs w:val="21"/>
                <w:highlight w:val="none"/>
              </w:rPr>
              <w:t>架构，通过浏览器和A</w:t>
            </w:r>
            <w:r>
              <w:rPr>
                <w:rFonts w:ascii="宋体" w:hAnsi="宋体"/>
                <w:color w:val="000000"/>
                <w:szCs w:val="21"/>
                <w:highlight w:val="none"/>
              </w:rPr>
              <w:t>PP</w:t>
            </w:r>
            <w:r>
              <w:rPr>
                <w:rFonts w:hint="eastAsia" w:ascii="宋体" w:hAnsi="宋体"/>
                <w:color w:val="000000"/>
                <w:szCs w:val="21"/>
                <w:highlight w:val="none"/>
              </w:rPr>
              <w:t>完成应用操作，住院医师规范化培训综合过程质控管理系统以模块化的形式部署在统一平台中，平台内置“系统设置”、“系统管理”功能，能够管理和设置平台内所有系统。</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2、平台中系统可以灵活创建角色，并为角色配置平台中所有系统的相关权限，可以为角色批量分配用户。</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3、能够为所有用户独立配置菜单目录，可以配置系统、菜单和功能是否显示，以及显示顺序。</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、可以录入区域和机构信息，以树形结构完成本单位、平行单位或同平台下级单位的基本机构信息管理。</w:t>
            </w:r>
          </w:p>
          <w:p>
            <w:pPr>
              <w:ind w:firstLine="420" w:firstLineChars="200"/>
              <w:jc w:val="left"/>
              <w:rPr>
                <w:rFonts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、可以查看操作日志和登录日志，操作日志记录每位用户操作，并记录其操作状态；登录日志则可以记录每位用户的登录行为、登录状态、浏览器、操作系统、登录地址和登录时间。</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二、基础信息配置</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1、管理规培学员基础数据，能够录入学员基本信息，设置学员类别、培训年限、开始时间等，可以确认学员的培训状态，以及是否持有执医证等信息。</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2、管理规培学员个人信息档案，每位学员可以根据中国医师协会的要求，自行填写详细的个人基本信息、教育经历、以及规培相关招收信息。</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3、管理规培师资的基础数据，能够录入师资基本信息，设置师资的科室、聘任时间、所属基地等；可以设置师资是否为责任导师，设置成为责任导师的师资可以与学生绑定导师关系。</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、管理角色的基础数据，能够录入管理角色的基本信息，为科室或基地创建管理角色账号并维护信息，同一账号可以兼任基地管理员、科室管理员、带教老师和责任导师。</w:t>
            </w:r>
          </w:p>
          <w:p>
            <w:pPr>
              <w:ind w:firstLine="420" w:firstLineChars="200"/>
              <w:jc w:val="left"/>
              <w:rPr>
                <w:rFonts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、有权限的角色可以通过基础数据管理进行账号锁定操作，被锁定的账号无法登录系统，但数据仍在系统中保存。</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 xml:space="preserve">、支持模板导入，批量导出、密码重置等便捷功能，可以通过姓名、身份证号、科室等维度对角色账号进行精确查找或批量筛选。 </w:t>
            </w:r>
          </w:p>
          <w:p>
            <w:pPr>
              <w:ind w:firstLine="420" w:firstLineChars="200"/>
              <w:jc w:val="left"/>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、录入各专业所需轮转的国家规范科室，可根据医院实际科室情况，进行自定义匹配关系的设置。</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三、轮转配置</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1、可以实现平台级工作流配置，由基地自行完成规培业务在系统中的管理流程，配置功能采用低代码可视化形式，利用事件拖拽牵引的方式完成流程模型配置，工作流可以同步绑定评价表。</w:t>
            </w:r>
          </w:p>
          <w:p>
            <w:pPr>
              <w:ind w:firstLine="420" w:firstLineChars="200"/>
              <w:jc w:val="left"/>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设置和管理轮转计划，能够为自动轮转排班提供生成规则，可以为轮转计划设置月为单位的时间周期，并为轮转计划添加需要轮转的科室，科室设置必轮科室/选轮科室或合并轮转科室，并为每科室设置轮转周期。</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3、系统能够为轮转计划分配学员组，划定时间轮转时间区间，并全自动生成轮转排班表，系统内置排班算法完成全自动排班，减轻管理人员的工作负担。</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4、可以为算法配置规则限制，如限定某科室轮转时间或轮转学员的性别等，自动生成的排班表将遵循设置的规则。</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5、系统可以手动添加排班，或修改已经生成的排班，在遇到规培学员变故时能够根据需求灵活微调排班表。</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、管理员可以通过表单查询院内所有科室正在轮转的学员分布情况，表单以科室为单位，能够查看每科室每个月轮转的学员人数统计和学员详情列表，表单支持导出，也可以进行多维度筛选查询。</w:t>
            </w:r>
          </w:p>
          <w:p>
            <w:pPr>
              <w:ind w:firstLine="420" w:firstLineChars="200"/>
              <w:jc w:val="left"/>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、系统可以管理规培学员的入院报到情况，能够查看已经全部学员列表，显示报到状态并记录报到时间，可以生成报到二维码供学员扫描，未报到的学员可以一键批量确认报到。</w:t>
            </w:r>
          </w:p>
          <w:p>
            <w:pPr>
              <w:ind w:firstLine="420" w:firstLineChars="200"/>
              <w:jc w:val="left"/>
              <w:rPr>
                <w:rFonts w:ascii="宋体" w:hAns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、管理人员可以为科室上传入科宣教资料，入科宣教资料支持多种常见常用格式，可以预览或下载，可以一键浏览所有科室的入科宣教资料情况。</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9、自定义考勤规则，可以设置地理位置定位考勤/二维码考勤/一键考勤，设置上班下班的考勤时间，以及允许的迟到空间，异常打卡可以申请补卡；作为独立的考勤规则，系统可以设置某规则的生效时间。</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四、轮转过程管理</w:t>
            </w:r>
          </w:p>
          <w:p>
            <w:pPr>
              <w:ind w:firstLine="420" w:firstLineChars="200"/>
              <w:jc w:val="left"/>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、每学员有各自的科室时间轴，时间轴中能够显示该学员需要轮转的全部科室，包括时间、带教老师等信息，学员可以在时间轴中确认已经轮完的科室，正在轮转的科室和后续即将轮转的科室信息。</w:t>
            </w:r>
          </w:p>
          <w:p>
            <w:pPr>
              <w:ind w:firstLine="420" w:firstLineChars="200"/>
              <w:jc w:val="left"/>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、按照《住院医师规范化培训内容与标准(试行)》中的要求在系统中制定科室任务，能够设置科室、病例、病种和技能，并在系统中规定相应的次数。</w:t>
            </w:r>
          </w:p>
          <w:p>
            <w:pPr>
              <w:ind w:firstLine="420" w:firstLineChars="200"/>
              <w:jc w:val="left"/>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科室任务可以设置并同时兼容不同的《住院医师规范化培训内容与标准(试行)》文件版本，便于基地在规培大纲新版本上线时采用“老人老办法，新人新办法”，可以在系统中完成版本兼容设置和科室任务的再配置。</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、学员每完成一例科室任务都可以在系统中上传，并且可以在轮转手册中查看自己的科室任务完成进度与明细。</w:t>
            </w:r>
          </w:p>
          <w:p>
            <w:pPr>
              <w:ind w:firstLine="420" w:firstLineChars="200"/>
              <w:jc w:val="left"/>
              <w:rPr>
                <w:rFonts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、学员可以上传自己完成的大病历、管床病人记录、门急诊记录，供上级角色审核。</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、需要学员提交审核的内容可以实现自定义多级审核，带教老师和科主任中任意角色驳回审核即视为审核不通过，全部通过即为审核通过。</w:t>
            </w:r>
          </w:p>
          <w:p>
            <w:pPr>
              <w:ind w:firstLine="420" w:firstLineChars="200"/>
              <w:jc w:val="left"/>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可以设置教学活动，教师安排活动可以生成活动月历表，还可以设置教学活动分类，包括常见的临床教学活动类型：入科宣教、临床示教、小讲课、教学查房、病例讨论等，可以总结和登记教学活动并采用文字小结、拍照上传、视频上传等方式上传附件作为课后总结，教学活动可以在系统中长期留档，随时查看。</w:t>
            </w:r>
          </w:p>
          <w:p>
            <w:pPr>
              <w:ind w:firstLine="420" w:firstLineChars="200"/>
              <w:jc w:val="left"/>
              <w:rPr>
                <w:rFonts w:ascii="宋体" w:hAns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、系统可以记录教学活动相关信息，开展时间、签到人数等信息，可以查看课后总结附件，可以查看出勤信息和出勤人员详细名单。</w:t>
            </w:r>
          </w:p>
          <w:p>
            <w:pPr>
              <w:ind w:firstLine="420" w:firstLineChars="200"/>
              <w:jc w:val="left"/>
              <w:rPr>
                <w:rFonts w:ascii="宋体" w:hAnsi="宋体"/>
                <w:color w:val="000000"/>
                <w:szCs w:val="21"/>
                <w:highlight w:val="none"/>
              </w:rPr>
            </w:pPr>
            <w:r>
              <w:rPr>
                <w:rFonts w:ascii="宋体" w:hAnsi="宋体"/>
                <w:color w:val="000000"/>
                <w:szCs w:val="21"/>
                <w:highlight w:val="none"/>
              </w:rPr>
              <w:t>9</w:t>
            </w:r>
            <w:r>
              <w:rPr>
                <w:rFonts w:hint="eastAsia" w:ascii="宋体" w:hAnsi="宋体"/>
                <w:color w:val="000000"/>
                <w:szCs w:val="21"/>
                <w:highlight w:val="none"/>
              </w:rPr>
              <w:t>、学员可以上传自己的论文。</w:t>
            </w:r>
          </w:p>
          <w:p>
            <w:pPr>
              <w:ind w:firstLine="420" w:firstLineChars="200"/>
              <w:jc w:val="left"/>
              <w:rPr>
                <w:rFonts w:ascii="宋体" w:hAnsi="宋体"/>
                <w:color w:val="000000"/>
                <w:szCs w:val="21"/>
                <w:highlight w:val="none"/>
              </w:rPr>
            </w:pPr>
            <w:r>
              <w:rPr>
                <w:rFonts w:ascii="宋体" w:hAnsi="宋体"/>
                <w:color w:val="000000"/>
                <w:szCs w:val="21"/>
                <w:highlight w:val="none"/>
              </w:rPr>
              <w:t>10</w:t>
            </w:r>
            <w:r>
              <w:rPr>
                <w:rFonts w:hint="eastAsia" w:ascii="宋体" w:hAnsi="宋体"/>
                <w:color w:val="000000"/>
                <w:szCs w:val="21"/>
                <w:highlight w:val="none"/>
              </w:rPr>
              <w:t>、常规业务流程下，学员需要完成科室规定的全部科室任务例数，完成形成性评价，提交的内容全部通过审核，即可申请出科，并开始出科理论考试和出科技能考核。</w:t>
            </w:r>
          </w:p>
          <w:p>
            <w:pPr>
              <w:ind w:firstLine="420" w:firstLineChars="200"/>
              <w:jc w:val="left"/>
              <w:rPr>
                <w:rFonts w:ascii="宋体" w:hAnsi="宋体"/>
                <w:color w:val="000000"/>
                <w:szCs w:val="21"/>
                <w:highlight w:val="none"/>
              </w:rPr>
            </w:pPr>
            <w:r>
              <w:rPr>
                <w:rFonts w:ascii="宋体" w:hAnsi="宋体"/>
                <w:color w:val="000000"/>
                <w:szCs w:val="21"/>
                <w:highlight w:val="none"/>
              </w:rPr>
              <w:t>11</w:t>
            </w:r>
            <w:r>
              <w:rPr>
                <w:rFonts w:hint="eastAsia" w:ascii="宋体" w:hAnsi="宋体"/>
                <w:color w:val="000000"/>
                <w:szCs w:val="21"/>
                <w:highlight w:val="none"/>
              </w:rPr>
              <w:t>、“理论考试”作为公共模块部署在平台中，能够在平台内所有需要理论考试的系统中调用，体现在住院医师规范化培训综合过程质控管理系统，则是在出科理论考试时进行调用。</w:t>
            </w:r>
          </w:p>
          <w:p>
            <w:pPr>
              <w:ind w:firstLine="420" w:firstLineChars="200"/>
              <w:jc w:val="left"/>
              <w:rPr>
                <w:rFonts w:ascii="宋体" w:hAnsi="宋体"/>
                <w:color w:val="000000"/>
                <w:szCs w:val="21"/>
                <w:highlight w:val="none"/>
              </w:rPr>
            </w:pPr>
            <w:r>
              <w:rPr>
                <w:rFonts w:ascii="宋体" w:hAnsi="宋体"/>
                <w:color w:val="000000"/>
                <w:szCs w:val="21"/>
                <w:highlight w:val="none"/>
              </w:rPr>
              <w:t>12</w:t>
            </w:r>
            <w:r>
              <w:rPr>
                <w:rFonts w:hint="eastAsia" w:ascii="宋体" w:hAnsi="宋体"/>
                <w:color w:val="000000"/>
                <w:szCs w:val="21"/>
                <w:highlight w:val="none"/>
              </w:rPr>
              <w:t>、每出科学员自动生成出科汇总表，汇总表包含学员在科室中的培训轨迹和详情，从入科到出科中学员所产生的全部活动，包括考勤情况、科室任务完成情况，以及相关的评价记录、成绩记录等信息都将在出科汇总表总生成并存档，汇总表将在系统中长期保存，可以快捷查询并浏览简要出科信息。</w:t>
            </w:r>
          </w:p>
          <w:p>
            <w:pPr>
              <w:ind w:firstLine="420" w:firstLineChars="200"/>
              <w:jc w:val="left"/>
              <w:rPr>
                <w:rFonts w:ascii="宋体" w:hAnsi="宋体"/>
                <w:color w:val="000000"/>
                <w:szCs w:val="21"/>
                <w:highlight w:val="none"/>
              </w:rPr>
            </w:pPr>
            <w:r>
              <w:rPr>
                <w:rFonts w:ascii="宋体" w:hAnsi="宋体"/>
                <w:color w:val="000000"/>
                <w:szCs w:val="21"/>
                <w:highlight w:val="none"/>
              </w:rPr>
              <w:t>13</w:t>
            </w:r>
            <w:r>
              <w:rPr>
                <w:rFonts w:hint="eastAsia" w:ascii="宋体" w:hAnsi="宋体"/>
                <w:color w:val="000000"/>
                <w:szCs w:val="21"/>
                <w:highlight w:val="none"/>
              </w:rPr>
              <w:t>、学员在完成住院医师规范化培训后，系统能够为每位学员自动生成一份规培档案，规培档案中记载了每位学员在住院医师规范化培训期间的信息，包括学员轮转过的每个科室、完成的科室任务、登记审核的门急诊记录、大病历记录、管床病人记录、参与过的教学活动、上传的各类材料、考勤情况、学术会议情况、成果产出情况等，以及详细的签到、考勤、审核信息和形成性评价情况。规培档案将在系统中长期留存，可以快解查询并浏览简要关键信息。</w:t>
            </w:r>
          </w:p>
          <w:p>
            <w:pPr>
              <w:ind w:firstLine="420" w:firstLineChars="200"/>
              <w:jc w:val="left"/>
              <w:rPr>
                <w:rFonts w:ascii="宋体" w:hAnsi="宋体"/>
                <w:color w:val="000000"/>
                <w:szCs w:val="21"/>
                <w:highlight w:val="none"/>
              </w:rPr>
            </w:pPr>
            <w:r>
              <w:rPr>
                <w:rFonts w:ascii="宋体" w:hAnsi="宋体"/>
                <w:color w:val="000000"/>
                <w:szCs w:val="21"/>
                <w:highlight w:val="none"/>
              </w:rPr>
              <w:t>14</w:t>
            </w:r>
            <w:r>
              <w:rPr>
                <w:rFonts w:hint="eastAsia" w:ascii="宋体" w:hAnsi="宋体"/>
                <w:color w:val="000000"/>
                <w:szCs w:val="21"/>
                <w:highlight w:val="none"/>
              </w:rPr>
              <w:t>、根据不同情况的申请进行多级审核，在审核流程中任意角色将审核驳回都视为将该申请驳回，只有所有角色全部审核通过才视为通过申请。</w:t>
            </w:r>
          </w:p>
          <w:p>
            <w:pPr>
              <w:ind w:firstLine="420" w:firstLineChars="200"/>
              <w:jc w:val="left"/>
              <w:rPr>
                <w:rFonts w:ascii="宋体" w:hAnsi="宋体"/>
                <w:color w:val="000000"/>
                <w:szCs w:val="21"/>
                <w:highlight w:val="none"/>
              </w:rPr>
            </w:pPr>
            <w:r>
              <w:rPr>
                <w:rFonts w:ascii="宋体" w:hAnsi="宋体"/>
                <w:color w:val="000000"/>
                <w:szCs w:val="21"/>
                <w:highlight w:val="none"/>
              </w:rPr>
              <w:t>15</w:t>
            </w:r>
            <w:r>
              <w:rPr>
                <w:rFonts w:hint="eastAsia" w:ascii="宋体" w:hAnsi="宋体"/>
                <w:color w:val="000000"/>
                <w:szCs w:val="21"/>
                <w:highlight w:val="none"/>
              </w:rPr>
              <w:t>、系统内置自主学习功能，管理员可以上传学习素材并编制章节，学员可以在</w:t>
            </w:r>
            <w:r>
              <w:rPr>
                <w:rFonts w:ascii="宋体" w:hAnsi="宋体"/>
                <w:color w:val="000000"/>
                <w:szCs w:val="21"/>
                <w:highlight w:val="none"/>
              </w:rPr>
              <w:t>APP</w:t>
            </w:r>
            <w:r>
              <w:rPr>
                <w:rFonts w:hint="eastAsia" w:ascii="宋体" w:hAnsi="宋体"/>
                <w:color w:val="000000"/>
                <w:szCs w:val="21"/>
                <w:highlight w:val="none"/>
              </w:rPr>
              <w:t>中不限时间地点完成学习任务。</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五、形成性评价</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1、系统内置信息化Mini</w:t>
            </w:r>
            <w:r>
              <w:rPr>
                <w:rFonts w:ascii="宋体" w:hAnsi="宋体"/>
                <w:color w:val="000000"/>
                <w:szCs w:val="21"/>
                <w:highlight w:val="none"/>
              </w:rPr>
              <w:t>-CEX</w:t>
            </w:r>
            <w:r>
              <w:rPr>
                <w:rFonts w:hint="eastAsia" w:ascii="宋体" w:hAnsi="宋体"/>
                <w:color w:val="000000"/>
                <w:szCs w:val="21"/>
                <w:highlight w:val="none"/>
              </w:rPr>
              <w:t>评价流程，以及信息化Mini</w:t>
            </w:r>
            <w:r>
              <w:rPr>
                <w:rFonts w:ascii="宋体" w:hAnsi="宋体"/>
                <w:color w:val="000000"/>
                <w:szCs w:val="21"/>
                <w:highlight w:val="none"/>
              </w:rPr>
              <w:t>-CEX</w:t>
            </w:r>
            <w:r>
              <w:rPr>
                <w:rFonts w:hint="eastAsia" w:ascii="宋体" w:hAnsi="宋体"/>
                <w:color w:val="000000"/>
                <w:szCs w:val="21"/>
                <w:highlight w:val="none"/>
              </w:rPr>
              <w:t>量表。</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2、系统内置信息化</w:t>
            </w:r>
            <w:r>
              <w:rPr>
                <w:rFonts w:ascii="宋体" w:hAnsi="宋体"/>
                <w:color w:val="000000"/>
                <w:szCs w:val="21"/>
                <w:highlight w:val="none"/>
              </w:rPr>
              <w:t>SOAP</w:t>
            </w:r>
            <w:r>
              <w:rPr>
                <w:rFonts w:hint="eastAsia" w:ascii="宋体" w:hAnsi="宋体"/>
                <w:color w:val="000000"/>
                <w:szCs w:val="21"/>
                <w:highlight w:val="none"/>
              </w:rPr>
              <w:t>病例评价流程，以及信息化</w:t>
            </w:r>
            <w:r>
              <w:rPr>
                <w:rFonts w:ascii="宋体" w:hAnsi="宋体"/>
                <w:color w:val="000000"/>
                <w:szCs w:val="21"/>
                <w:highlight w:val="none"/>
              </w:rPr>
              <w:t>SOAP</w:t>
            </w:r>
            <w:r>
              <w:rPr>
                <w:rFonts w:hint="eastAsia" w:ascii="宋体" w:hAnsi="宋体"/>
                <w:color w:val="000000"/>
                <w:szCs w:val="21"/>
                <w:highlight w:val="none"/>
              </w:rPr>
              <w:t>病例量表。</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3、系统内置信息化D</w:t>
            </w:r>
            <w:r>
              <w:rPr>
                <w:rFonts w:ascii="宋体" w:hAnsi="宋体"/>
                <w:color w:val="000000"/>
                <w:szCs w:val="21"/>
                <w:highlight w:val="none"/>
              </w:rPr>
              <w:t>OPS</w:t>
            </w:r>
            <w:r>
              <w:rPr>
                <w:rFonts w:hint="eastAsia" w:ascii="宋体" w:hAnsi="宋体"/>
                <w:color w:val="000000"/>
                <w:szCs w:val="21"/>
                <w:highlight w:val="none"/>
              </w:rPr>
              <w:t>量表评价流程，以及信息化D</w:t>
            </w:r>
            <w:r>
              <w:rPr>
                <w:rFonts w:ascii="宋体" w:hAnsi="宋体"/>
                <w:color w:val="000000"/>
                <w:szCs w:val="21"/>
                <w:highlight w:val="none"/>
              </w:rPr>
              <w:t>OPS</w:t>
            </w:r>
            <w:r>
              <w:rPr>
                <w:rFonts w:hint="eastAsia" w:ascii="宋体" w:hAnsi="宋体"/>
                <w:color w:val="000000"/>
                <w:szCs w:val="21"/>
                <w:highlight w:val="none"/>
              </w:rPr>
              <w:t>量表。</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4、3</w:t>
            </w:r>
            <w:r>
              <w:rPr>
                <w:rFonts w:ascii="宋体" w:hAnsi="宋体"/>
                <w:color w:val="000000"/>
                <w:szCs w:val="21"/>
                <w:highlight w:val="none"/>
              </w:rPr>
              <w:t>60</w:t>
            </w:r>
            <w:r>
              <w:rPr>
                <w:rFonts w:hint="eastAsia" w:ascii="宋体" w:hAnsi="宋体"/>
                <w:color w:val="000000"/>
                <w:szCs w:val="21"/>
                <w:highlight w:val="none"/>
              </w:rPr>
              <w:t>度反馈评价量表：</w:t>
            </w:r>
            <w:r>
              <w:rPr>
                <w:rFonts w:ascii="宋体" w:hAnsi="宋体"/>
                <w:color w:val="000000"/>
                <w:szCs w:val="21"/>
                <w:highlight w:val="none"/>
              </w:rPr>
              <w:t>360度反馈评价是</w:t>
            </w:r>
            <w:r>
              <w:rPr>
                <w:rFonts w:hint="eastAsia" w:ascii="宋体" w:hAnsi="宋体"/>
                <w:color w:val="000000"/>
                <w:szCs w:val="21"/>
                <w:highlight w:val="none"/>
              </w:rPr>
              <w:t>全方位、多角度、多角色相互评价与集中评价的方法</w:t>
            </w:r>
            <w:r>
              <w:rPr>
                <w:rFonts w:ascii="宋体" w:hAnsi="宋体"/>
                <w:color w:val="000000"/>
                <w:szCs w:val="21"/>
                <w:highlight w:val="none"/>
              </w:rPr>
              <w:t>。</w:t>
            </w:r>
            <w:r>
              <w:rPr>
                <w:rFonts w:hint="eastAsia" w:ascii="宋体" w:hAnsi="宋体"/>
                <w:color w:val="000000"/>
                <w:szCs w:val="21"/>
                <w:highlight w:val="none"/>
              </w:rPr>
              <w:t>系统内置的</w:t>
            </w:r>
            <w:r>
              <w:rPr>
                <w:rFonts w:ascii="宋体" w:hAnsi="宋体"/>
                <w:color w:val="000000"/>
                <w:szCs w:val="21"/>
                <w:highlight w:val="none"/>
              </w:rPr>
              <w:t>360</w:t>
            </w:r>
            <w:r>
              <w:rPr>
                <w:rFonts w:hint="eastAsia" w:ascii="宋体" w:hAnsi="宋体"/>
                <w:color w:val="000000"/>
                <w:szCs w:val="21"/>
                <w:highlight w:val="none"/>
              </w:rPr>
              <w:t>度</w:t>
            </w:r>
            <w:r>
              <w:rPr>
                <w:rFonts w:ascii="宋体" w:hAnsi="宋体"/>
                <w:color w:val="000000"/>
                <w:szCs w:val="21"/>
                <w:highlight w:val="none"/>
              </w:rPr>
              <w:t>评价采用</w:t>
            </w:r>
            <w:r>
              <w:rPr>
                <w:rFonts w:hint="eastAsia" w:ascii="宋体" w:hAnsi="宋体"/>
                <w:color w:val="000000"/>
                <w:szCs w:val="21"/>
                <w:highlight w:val="none"/>
              </w:rPr>
              <w:t>信息化评价表，通过系统信息化手段完成评价流程。</w:t>
            </w:r>
          </w:p>
          <w:p>
            <w:pPr>
              <w:ind w:firstLine="420" w:firstLineChars="200"/>
              <w:jc w:val="left"/>
              <w:rPr>
                <w:rFonts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课程质量评价量表：课程质量评价主要用于各类教学活动中学员与老师之间的相互评价，一般情况下，教学活动参与双方能够通过课程质量评价量表完成多维度的互评，评价结果能够用于反馈教学质量，以及强化或改进教学手段。系统内置信息化课程质量评价量表，能够通过信息化手段完成评价流程。</w:t>
            </w:r>
            <w:r>
              <w:rPr>
                <w:rFonts w:ascii="宋体" w:hAnsi="宋体"/>
                <w:color w:val="000000"/>
                <w:szCs w:val="21"/>
                <w:highlight w:val="none"/>
              </w:rPr>
              <w:t xml:space="preserve"> </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评价表设置：系统能够通过评价表设置功能完成评价表与角色的快速绑定，系统内置评价人与被评价人两种角色，两种角色即能够涵盖形成性评价体系内所有的评价角色，本功能旨在为配置评价表的过程减少工作量，提升配置效率。</w:t>
            </w:r>
          </w:p>
          <w:p>
            <w:pPr>
              <w:ind w:firstLine="420" w:firstLineChars="200"/>
              <w:jc w:val="left"/>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评价表编辑器：系统内置默认评价表，同时内置评价表编辑器功能，能够适应不同实际教学情况，不同教学体系的不同评价内容，用户能够自行在评价表编辑器中对评价表的评价维度、评价角色、评价内容、评分或选项、评分模式等元素进行编辑，从而构建具有本地化特色的评价工具体系。</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8、“评价模板设置”作为公共模块，能够管理和配置平台内通用的评价工具，系统管理员能够配置启用形成性评价的教学信息化软件，配置评价工具和平台内软件相关联。</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六、管理控制台</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1、系统为每种管理角色预设了工作台页面，管理员可以通过Web端访问自己的工作台，工作台可以展示基地或科室的运行情况，并且可以快速处理信息和完成审核。</w:t>
            </w:r>
          </w:p>
          <w:p>
            <w:pPr>
              <w:ind w:firstLine="420" w:firstLineChars="200"/>
              <w:jc w:val="left"/>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、工作台能够展示基地内学员概览，包括在培数量、结业数量、延培数量、科室数量、师资数量、导师数量，能够以数据显示屏的形式在工作台中展示，数据实时刷新。</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3、工作台能够展示科室的学员入科情况，包括应入科/已入科/未入科的学员名单，并展示时间、批次等详细信息；能够展示科室的学员出科情况，包括应出科/已出科/未出科的学员名单，并展示时间、批次等详细信息。</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、工作台能够展示教学活动列表。</w:t>
            </w:r>
          </w:p>
          <w:p>
            <w:pPr>
              <w:ind w:firstLine="420" w:firstLineChars="200"/>
              <w:jc w:val="left"/>
              <w:rPr>
                <w:rFonts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、工作台能够展示学员提交的轮转手册情况，包括姓名、任务名称和提交日期等，管理员可以在工作台中快速完成通过或驳回操作，通过或驳回的轮转手册在工作台中单独分类展示。</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、工作台能够展示学员的请假情况，包括姓名和请假申请详情，管理员可在工作台中快速完成通过或驳回操作，通过或驳回的请假申请在工作台中单独分类展示。</w:t>
            </w:r>
          </w:p>
          <w:p>
            <w:pPr>
              <w:ind w:firstLine="420" w:firstLineChars="200"/>
              <w:jc w:val="left"/>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、系统在手机端完成了app功能移植，支持I</w:t>
            </w:r>
            <w:r>
              <w:rPr>
                <w:rFonts w:ascii="宋体" w:hAnsi="宋体"/>
                <w:color w:val="000000"/>
                <w:szCs w:val="21"/>
                <w:highlight w:val="none"/>
              </w:rPr>
              <w:t>OS</w:t>
            </w:r>
            <w:r>
              <w:rPr>
                <w:rFonts w:hint="eastAsia" w:ascii="宋体" w:hAnsi="宋体"/>
                <w:color w:val="000000"/>
                <w:szCs w:val="21"/>
                <w:highlight w:val="none"/>
              </w:rPr>
              <w:t>和Android操作系统，具备手机端应有的便捷性，缓解实际使用系统时因web设备、网络或时间地点等因素所产生的管理困难。</w:t>
            </w:r>
          </w:p>
          <w:p>
            <w:pPr>
              <w:ind w:firstLine="420" w:firstLineChars="200"/>
              <w:jc w:val="left"/>
              <w:rPr>
                <w:rFonts w:ascii="宋体" w:hAns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、A</w:t>
            </w:r>
            <w:r>
              <w:rPr>
                <w:rFonts w:ascii="宋体" w:hAnsi="宋体"/>
                <w:color w:val="000000"/>
                <w:szCs w:val="21"/>
                <w:highlight w:val="none"/>
              </w:rPr>
              <w:t>PP</w:t>
            </w:r>
            <w:r>
              <w:rPr>
                <w:rFonts w:hint="eastAsia" w:ascii="宋体" w:hAnsi="宋体"/>
                <w:color w:val="000000"/>
                <w:szCs w:val="21"/>
                <w:highlight w:val="none"/>
              </w:rPr>
              <w:t>可以根据账号或权限配置菜单功能。</w:t>
            </w:r>
          </w:p>
          <w:p>
            <w:pPr>
              <w:ind w:firstLine="420" w:firstLineChars="200"/>
              <w:jc w:val="left"/>
              <w:rPr>
                <w:rFonts w:ascii="宋体" w:hAnsi="宋体"/>
                <w:color w:val="000000"/>
                <w:szCs w:val="21"/>
                <w:highlight w:val="none"/>
              </w:rPr>
            </w:pPr>
            <w:r>
              <w:rPr>
                <w:rFonts w:ascii="宋体" w:hAnsi="宋体"/>
                <w:color w:val="000000"/>
                <w:szCs w:val="21"/>
                <w:highlight w:val="none"/>
              </w:rPr>
              <w:t>9</w:t>
            </w:r>
            <w:r>
              <w:rPr>
                <w:rFonts w:hint="eastAsia" w:ascii="宋体" w:hAnsi="宋体"/>
                <w:color w:val="000000"/>
                <w:szCs w:val="21"/>
                <w:highlight w:val="none"/>
              </w:rPr>
              <w:t>、A</w:t>
            </w:r>
            <w:r>
              <w:rPr>
                <w:rFonts w:ascii="宋体" w:hAnsi="宋体"/>
                <w:color w:val="000000"/>
                <w:szCs w:val="21"/>
                <w:highlight w:val="none"/>
              </w:rPr>
              <w:t>PP</w:t>
            </w:r>
            <w:r>
              <w:rPr>
                <w:rFonts w:hint="eastAsia" w:ascii="宋体" w:hAnsi="宋体"/>
                <w:color w:val="000000"/>
                <w:szCs w:val="21"/>
                <w:highlight w:val="none"/>
              </w:rPr>
              <w:t>内置推送机制，可以将待审核/待确认/待开展教学活动等待办事项提前通过推送的方式进行提示。</w:t>
            </w:r>
          </w:p>
          <w:p>
            <w:pPr>
              <w:ind w:firstLine="420" w:firstLineChars="200"/>
              <w:jc w:val="left"/>
              <w:rPr>
                <w:rFonts w:ascii="宋体" w:hAnsi="宋体"/>
                <w:color w:val="000000"/>
                <w:szCs w:val="21"/>
                <w:highlight w:val="none"/>
              </w:rPr>
            </w:pPr>
            <w:r>
              <w:rPr>
                <w:rFonts w:ascii="宋体" w:hAnsi="宋体"/>
                <w:color w:val="000000"/>
                <w:szCs w:val="21"/>
                <w:highlight w:val="none"/>
              </w:rPr>
              <w:t>10</w:t>
            </w:r>
            <w:r>
              <w:rPr>
                <w:rFonts w:hint="eastAsia" w:ascii="宋体" w:hAnsi="宋体"/>
                <w:color w:val="000000"/>
                <w:szCs w:val="21"/>
                <w:highlight w:val="none"/>
              </w:rPr>
              <w:t>、A</w:t>
            </w:r>
            <w:r>
              <w:rPr>
                <w:rFonts w:ascii="宋体" w:hAnsi="宋体"/>
                <w:color w:val="000000"/>
                <w:szCs w:val="21"/>
                <w:highlight w:val="none"/>
              </w:rPr>
              <w:t>PP</w:t>
            </w:r>
            <w:r>
              <w:rPr>
                <w:rFonts w:hint="eastAsia" w:ascii="宋体" w:hAnsi="宋体"/>
                <w:color w:val="000000"/>
                <w:szCs w:val="21"/>
                <w:highlight w:val="none"/>
              </w:rPr>
              <w:t>内置消息通知集成，可以在界面中集中查看所有消息通知。</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七、数据统计分析</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1、科室学员统计，可以统计每科室每月份的学员数量，可以选择多个月份进行柱状图横向对比。</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2、科室教学活动统计：可以统计每科室开展的教学活动数量，可以任意选择并查看详情。</w:t>
            </w:r>
          </w:p>
          <w:p>
            <w:pPr>
              <w:ind w:firstLine="420" w:firstLineChars="200"/>
              <w:jc w:val="left"/>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、学员工作量统计：以个人为单位统计教学活动、病种记录、技能操作、门急诊、大病历数量，可以批量导出。</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4、学员教学活动统计：可以统计学员参加教学活动情况，可以任意选择并查看详情，支持条件筛选和批量导出。</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5、教师工作量统计：可以统计每位教师的工作量，可以查看详情，支持条件筛选和批量导出。</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、大病历统计：可以统计每位学员的大病历数量，可以统计提交总数、未审核、已审核、驳回数量，并查看详情，支持条件筛选和批量导出。</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7、请假统计：可以统计每位学员的请假总天数，以及各类型请假的天数，可以查看详情，支持条件筛选和批量导出。</w:t>
            </w:r>
          </w:p>
          <w:p>
            <w:pPr>
              <w:ind w:firstLine="420" w:firstLineChars="200"/>
              <w:jc w:val="left"/>
              <w:rPr>
                <w:rFonts w:ascii="宋体" w:hAns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、出科考核查询：可以查询学员出科理论考核和实践技能考核分数，可以以学员为单位查看规培生涯中所有科室的出科考核情况。</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9、出科平均分查询：以学员为单位查询出科理论成绩和技能成绩的平均分，以及形成性评价的平均分。</w:t>
            </w:r>
          </w:p>
          <w:p>
            <w:pPr>
              <w:widowControl/>
              <w:ind w:firstLine="420"/>
              <w:jc w:val="left"/>
              <w:rPr>
                <w:rFonts w:ascii="宋体" w:hAnsi="宋体"/>
                <w:color w:val="000000"/>
                <w:szCs w:val="21"/>
                <w:highlight w:val="none"/>
              </w:rPr>
            </w:pPr>
          </w:p>
          <w:p>
            <w:pPr>
              <w:spacing w:before="156" w:beforeLines="50"/>
              <w:ind w:firstLine="420"/>
              <w:jc w:val="left"/>
              <w:rPr>
                <w:rFonts w:hint="eastAsia" w:ascii="宋体" w:hAnsi="宋体"/>
                <w:color w:val="000000"/>
                <w:szCs w:val="21"/>
                <w:highlight w:val="none"/>
              </w:rPr>
            </w:pPr>
          </w:p>
        </w:tc>
        <w:tc>
          <w:tcPr>
            <w:tcW w:w="1560" w:type="dxa"/>
            <w:gridSpan w:val="2"/>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c>
          <w:tcPr>
            <w:tcW w:w="1511" w:type="dxa"/>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zJkOWZlNjU2MzkyNmVjYjlkMzdhZjlmZTcyZTkifQ=="/>
  </w:docVars>
  <w:rsids>
    <w:rsidRoot w:val="6FDB2037"/>
    <w:rsid w:val="6FDB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2023-06-15T02:14:00Z</dcterms:created>
  <dc:creator>木子青争</dc:creator>
  <cp:lastModifiedBy>木子青争</cp:lastModifiedBy>
  <dcterms:modified xsi:type="dcterms:W3CDTF">2023-06-15T02:15:30Z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A8BBD920948F4396B1F98770FE7CD8D8_11</vt:lpwstr>
  </property>
</Properties>
</file>