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highlight w:val="none"/>
        </w:rPr>
        <w:t>附件3：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Arial"/>
          <w:b/>
          <w:bCs/>
          <w:color w:val="000000"/>
          <w:kern w:val="0"/>
          <w:sz w:val="24"/>
          <w:szCs w:val="32"/>
          <w:highlight w:val="none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  <w:szCs w:val="32"/>
          <w:highlight w:val="none"/>
        </w:rPr>
        <w:t>在线考试系统 功能市场调查响应表（厂家提供）</w:t>
      </w:r>
    </w:p>
    <w:p>
      <w:pPr>
        <w:ind w:left="-460" w:leftChars="-540" w:hanging="674" w:hangingChars="305"/>
        <w:jc w:val="left"/>
        <w:rPr>
          <w:rFonts w:hint="eastAsia" w:ascii="宋体" w:hAnsi="宋体"/>
          <w:color w:val="000000"/>
          <w:sz w:val="22"/>
          <w:szCs w:val="32"/>
          <w:highlight w:val="none"/>
        </w:rPr>
      </w:pP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**</w:t>
      </w:r>
      <w:r>
        <w:rPr>
          <w:rFonts w:hint="eastAsia" w:ascii="宋体" w:hAnsi="宋体"/>
          <w:color w:val="000000"/>
          <w:sz w:val="22"/>
          <w:szCs w:val="32"/>
          <w:highlight w:val="none"/>
        </w:rPr>
        <w:t>注：①“</w:t>
      </w: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性能要求</w:t>
      </w:r>
      <w:r>
        <w:rPr>
          <w:rFonts w:hint="eastAsia" w:ascii="宋体" w:hAnsi="宋体"/>
          <w:color w:val="000000"/>
          <w:sz w:val="22"/>
          <w:szCs w:val="32"/>
          <w:highlight w:val="none"/>
        </w:rPr>
        <w:t>”一列中，如有括弧“（）”处请在“</w:t>
      </w: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技术响应</w:t>
      </w:r>
      <w:r>
        <w:rPr>
          <w:rFonts w:hint="eastAsia" w:ascii="宋体" w:hAnsi="宋体"/>
          <w:color w:val="000000"/>
          <w:sz w:val="22"/>
          <w:szCs w:val="32"/>
          <w:highlight w:val="none"/>
        </w:rPr>
        <w:t>”一列中填写数值，其他位置一一对应填写正偏离/响应/负偏离； ②参数及性能要求不倾向任何一家，仅做参考，如有与各厂家描述不同处，请各厂家在“</w:t>
      </w: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说明</w:t>
      </w:r>
      <w:r>
        <w:rPr>
          <w:rFonts w:hint="eastAsia" w:ascii="宋体" w:hAnsi="宋体"/>
          <w:color w:val="000000"/>
          <w:sz w:val="22"/>
          <w:szCs w:val="32"/>
          <w:highlight w:val="none"/>
        </w:rPr>
        <w:t>”一列中进行各自阐述；</w:t>
      </w: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**</w:t>
      </w:r>
    </w:p>
    <w:tbl>
      <w:tblPr>
        <w:tblStyle w:val="2"/>
        <w:tblW w:w="11151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144"/>
        <w:gridCol w:w="127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性能要求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技术响应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（填写数值/正偏离/响应/负偏离）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说明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(填写提供型号的每点相应具体说明）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7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请提供推荐的型号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rPr>
                <w:rFonts w:hint="eastAsia" w:ascii="宋体" w:hAnsi="宋体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1</w:t>
            </w:r>
          </w:p>
        </w:tc>
        <w:tc>
          <w:tcPr>
            <w:tcW w:w="7144" w:type="dxa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主要功能：</w:t>
            </w:r>
          </w:p>
          <w:p>
            <w:pPr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满足每位医务人员，在线考试。题量达50万以上。包含临床三基训练考试、执业资格考试、职称考试和医学教育考试。从功能上，在线考试系统可完全替代以往纸质化的出题、阅卷和分析过程。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一、题库管理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1、系统内置题库管理功能，能够对系统内题库进行建设和维护，有权限的用户可以在系统中新增题库、新增试题，也能够修改或删除现有试题。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▲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2、系统能够以图形化的形式对题库进行数据分析，通过饼图显示题库中各题型的题目数和百分比。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（需提供实际界面截图并现场演示）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3、所有题库均可设置是否开放，老师或学生可以选择开放题库进行抽题组卷，但无法在系统中查看或选择未开放题库。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、系统内置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A1题型、A2题型、A3题型、A4题型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B1题型、判断题、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多选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题、填空题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、问答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题等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多种题型。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、系统根据实际使用需要，按照树形结构对全部试题进行分类，包括三基考试、执业医师考试、住培考试和院校内各学科考试等题库。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、系统总试题量不少于5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万道。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、系统能够通过关键词进行题目精确查找，也可以通过预设所属题库、试题类型、试题难度等范围进行题目筛选和范围查找。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8、系统能够新增试题，为试题设置试题难度、试题类型和试题状态（是否开放），选择新增试题的所属题库，标记试题来源（原创或出自），并为试题添加题干和答案。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9、系统内置富文本编辑器用于新增或修改试题，并且能够为试题添加相关附件，附件格式支持常见常用的图片、视频格式。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、系统能够批量导入试题，管理员通过使用系统预设的模板进行题目预编辑，上传至系统即可完成试题的批量导入，系统将自动对非标试题进行处理。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二、试卷管理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、创建试卷：支持普通创建试卷及快速创建试卷等多种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方式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组卷。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2、可以设置考试的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具体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开始和结束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时间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以及考试时长。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3、支持设定考试成绩对学员进行公布的时间。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、试卷支持配置重复考试功能。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、支持试卷分类，包括普通试卷和随机试卷等类型，试题可以选择随机顺序显示。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、可以选择考试的受众部门或具体用户。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、可以查看每份试卷的考试人数、试题数量等考试详情。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、试卷导出：支持考试试卷导出，可以选择包含标准答案和无标准答案两种类型。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▲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、试卷克隆：对于已考过的试卷，可以克隆试卷，用于新的考试。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（需提供实际界面截图并现场演示）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、考试详情导出：支持成绩清单、所有考试的答题清单和答卷和缺考名单等数据导出。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试卷修改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：具有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在教师审核试卷时能反复查看组成试卷内容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更换、删除题目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的功能。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▲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、管理员可以图形+百分比的形式查看任意试卷的批改进度，可以重新批阅、批改试卷。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（需提供实际界面截图并现场演示）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13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、系统支持导出任意试卷的成绩清单，导出考生的答题清单，也能够导出所有考生的试卷。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13、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试卷补考：可支持试卷补考功能，设置补考次数，成绩不及格时可参加补考，成绩及格后则不需要补考。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三、自我检测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1、系统中所有用户都可以使用自测功能，自行选择题库或试题组卷并进行自测，自测试卷科室设置试题数量和分数，也可以由系统随机组卷并快速开始考试。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2、在使用自测功能进行组卷时，仅能够选择开放状态题库中的试题。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、系统能够对自测试卷进行自动批阅，并出具成绩。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4、具有管理权限的人员能够查看到所有用户的自测记录，包括自测时间和得分，能够查看试卷详情。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5、每位用户都能够查看到自己的自测记录，以及试卷详情。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6、系统能够自动记录每次自测的错题，自动形成错题集，供学习者进行反复自测。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四、统计分析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、可以统计考试平均分、参加考试人数、及格人数以及最早交卷和最迟交卷等数据。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、可以导出试卷答题正确率的统计分析结果。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3、支持对单场考试或多个考试的分数统计和及格通过率的考卷排名。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、可以统计不同分数段人数和比例，并支持以图表形式展示，支持自定义分数区间。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五、系统监控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1、系统能够实现自我监控，并将服务器运行状态在系统首页进行图形化显示，包括服务器总内存、系统消耗内存等信息，数据每隔3分钟读取一次，保存2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小时。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2、系统能够读取服务器信息，包括服务器名称、I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P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地址、服务器时间、运行环境和操作系统。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3、系统首页能够展示系统内总试卷数、总用户数、总题库数等信息。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▲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4、系统首页能够图形化显示所有考题的统计情况，饼状图显示题目类型和占比，以及每种题型的总数，可以通过点击操作选择是否显示某种题型。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（需提供实际界面截图并现场演示）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5、系统首页能够查看系统公告和最近的考试。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▲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、系统内置“创建题库-导入试题-创建试卷-查看结果”主干流程的系统功能帮助，点击帮助可以查看使用方法，也能够快速跳转到功能页面。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（需提供实际界面截图并现场演示）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六、移动端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▲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1、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具有支持移动端功能，学员可在手机移动端登录系统考试答题。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（需提供实际界面截图并现场演示）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▲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、可以设置密码使用防作弊功能，考试过程中如果切换页面，需要让考官输入设置的密码才能继续考试，切换2次以上就会自动提交试卷。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（需提供实际界面截图并现场演示）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color w:val="000000"/>
          <w:sz w:val="28"/>
          <w:highlight w:val="none"/>
        </w:rPr>
      </w:pPr>
    </w:p>
    <w:p>
      <w:pPr>
        <w:jc w:val="center"/>
        <w:rPr>
          <w:b/>
          <w:color w:val="000000"/>
          <w:sz w:val="28"/>
          <w:highlight w:val="none"/>
        </w:rPr>
      </w:pPr>
    </w:p>
    <w:p>
      <w:pPr>
        <w:jc w:val="center"/>
        <w:rPr>
          <w:b/>
          <w:color w:val="000000"/>
          <w:sz w:val="28"/>
          <w:highlight w:val="none"/>
        </w:rPr>
      </w:pPr>
    </w:p>
    <w:p>
      <w:pPr>
        <w:jc w:val="left"/>
        <w:rPr>
          <w:rFonts w:hint="eastAsia" w:ascii="华文中宋" w:hAnsi="华文中宋" w:eastAsia="华文中宋" w:cs="华文中宋"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highlight w:val="none"/>
        </w:rPr>
        <w:t>附件4：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Arial"/>
          <w:b/>
          <w:bCs/>
          <w:color w:val="000000"/>
          <w:kern w:val="0"/>
          <w:sz w:val="24"/>
          <w:szCs w:val="32"/>
          <w:highlight w:val="none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  <w:szCs w:val="32"/>
          <w:highlight w:val="none"/>
        </w:rPr>
        <w:t>在线图书系统 功能市场调查响应表（厂家提供）</w:t>
      </w:r>
    </w:p>
    <w:p>
      <w:pPr>
        <w:ind w:left="-460" w:leftChars="-540" w:hanging="674" w:hangingChars="305"/>
        <w:jc w:val="left"/>
        <w:rPr>
          <w:rFonts w:hint="eastAsia" w:ascii="宋体" w:hAnsi="宋体"/>
          <w:color w:val="000000"/>
          <w:sz w:val="22"/>
          <w:szCs w:val="32"/>
          <w:highlight w:val="none"/>
        </w:rPr>
      </w:pP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**</w:t>
      </w:r>
      <w:r>
        <w:rPr>
          <w:rFonts w:hint="eastAsia" w:ascii="宋体" w:hAnsi="宋体"/>
          <w:color w:val="000000"/>
          <w:sz w:val="22"/>
          <w:szCs w:val="32"/>
          <w:highlight w:val="none"/>
        </w:rPr>
        <w:t>注：①“</w:t>
      </w: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性能要求</w:t>
      </w:r>
      <w:r>
        <w:rPr>
          <w:rFonts w:hint="eastAsia" w:ascii="宋体" w:hAnsi="宋体"/>
          <w:color w:val="000000"/>
          <w:sz w:val="22"/>
          <w:szCs w:val="32"/>
          <w:highlight w:val="none"/>
        </w:rPr>
        <w:t>”一列中，如有括弧“（）”处请在“</w:t>
      </w: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技术响应</w:t>
      </w:r>
      <w:r>
        <w:rPr>
          <w:rFonts w:hint="eastAsia" w:ascii="宋体" w:hAnsi="宋体"/>
          <w:color w:val="000000"/>
          <w:sz w:val="22"/>
          <w:szCs w:val="32"/>
          <w:highlight w:val="none"/>
        </w:rPr>
        <w:t>”一列中填写数值，其他位置一一对应填写正偏离/响应/负偏离； ②参数及性能要求不倾向任何一家，仅做参考，如有与各厂家描述不同处，请各厂家在“</w:t>
      </w: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说明</w:t>
      </w:r>
      <w:r>
        <w:rPr>
          <w:rFonts w:hint="eastAsia" w:ascii="宋体" w:hAnsi="宋体"/>
          <w:color w:val="000000"/>
          <w:sz w:val="22"/>
          <w:szCs w:val="32"/>
          <w:highlight w:val="none"/>
        </w:rPr>
        <w:t>”一列中进行各自阐述；</w:t>
      </w:r>
      <w:r>
        <w:rPr>
          <w:rFonts w:hint="eastAsia" w:ascii="宋体" w:hAnsi="宋体"/>
          <w:b/>
          <w:color w:val="000000"/>
          <w:sz w:val="22"/>
          <w:szCs w:val="32"/>
          <w:highlight w:val="none"/>
        </w:rPr>
        <w:t>**</w:t>
      </w:r>
    </w:p>
    <w:tbl>
      <w:tblPr>
        <w:tblStyle w:val="2"/>
        <w:tblW w:w="11151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144"/>
        <w:gridCol w:w="127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性能要求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技术响应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（填写数值/正偏离/响应/负偏离）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说明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</w:rPr>
              <w:t>(填写提供型号的每点相应具体说明）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7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请提供推荐的型号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rPr>
                <w:rFonts w:hint="eastAsia" w:ascii="宋体" w:hAnsi="宋体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1</w:t>
            </w:r>
          </w:p>
        </w:tc>
        <w:tc>
          <w:tcPr>
            <w:tcW w:w="7144" w:type="dxa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主要功能：</w:t>
            </w:r>
          </w:p>
          <w:p>
            <w:pPr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满足每位医务人员，在线查阅电子图书（含专业和非专业图书）。总册数达2万册以上。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75EF01BB"/>
    <w:rsid w:val="75EF01BB"/>
    <w:rsid w:val="7A8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2171</Words>
  <Characters>2188</Characters>
  <Lines>0</Lines>
  <Paragraphs>0</Paragraphs>
  <TotalTime>0</TotalTime>
  <ScaleCrop>false</ScaleCrop>
  <LinksUpToDate>false</LinksUpToDate>
  <CharactersWithSpaces>2190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2023-06-15T02:17:00Z</dcterms:created>
  <dc:creator>木子青争</dc:creator>
  <cp:lastModifiedBy>木子青争</cp:lastModifiedBy>
  <dcterms:modified xsi:type="dcterms:W3CDTF">2023-06-15T02:18:49Z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B80885B72CA34F25B33EA814F502BB0C_11</vt:lpwstr>
  </property>
</Properties>
</file>