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6B8900">
      <w:pPr>
        <w:pStyle w:val="5"/>
        <w:shd w:val="clear" w:color="auto" w:fill="FFFFFF"/>
        <w:spacing w:before="0" w:beforeAutospacing="0" w:after="136" w:afterAutospacing="0"/>
        <w:rPr>
          <w:rFonts w:hint="eastAsia" w:ascii="华文楷体" w:hAnsi="华文楷体" w:eastAsia="华文楷体" w:cs="华文楷体"/>
          <w:b/>
          <w:color w:val="000000" w:themeColor="text1"/>
          <w:sz w:val="28"/>
          <w:szCs w:val="28"/>
          <w14:textFill>
            <w14:solidFill>
              <w14:schemeClr w14:val="tx1"/>
            </w14:solidFill>
          </w14:textFill>
        </w:rPr>
      </w:pPr>
      <w:r>
        <w:rPr>
          <w:rFonts w:hint="eastAsia" w:ascii="华文楷体" w:hAnsi="华文楷体" w:eastAsia="华文楷体" w:cs="华文楷体"/>
          <w:b/>
          <w:color w:val="000000" w:themeColor="text1"/>
          <w:sz w:val="28"/>
          <w:szCs w:val="28"/>
          <w14:textFill>
            <w14:solidFill>
              <w14:schemeClr w14:val="tx1"/>
            </w14:solidFill>
          </w14:textFill>
        </w:rPr>
        <w:t>附件2：</w:t>
      </w:r>
    </w:p>
    <w:p w14:paraId="17C49694">
      <w:pPr>
        <w:pStyle w:val="5"/>
        <w:shd w:val="clear" w:color="auto" w:fill="FFFFFF"/>
        <w:spacing w:before="0" w:beforeAutospacing="0" w:after="136" w:afterAutospacing="0"/>
        <w:jc w:val="center"/>
        <w:rPr>
          <w:rFonts w:hint="eastAsia" w:ascii="华文楷体" w:hAnsi="华文楷体" w:eastAsia="华文楷体" w:cs="华文楷体"/>
          <w:b/>
          <w:color w:val="FF0000"/>
          <w:sz w:val="44"/>
          <w:szCs w:val="44"/>
          <w:lang w:eastAsia="zh-CN"/>
        </w:rPr>
      </w:pPr>
      <w:r>
        <w:rPr>
          <w:rFonts w:hint="eastAsia" w:ascii="华文楷体" w:hAnsi="华文楷体" w:eastAsia="华文楷体" w:cs="华文楷体"/>
          <w:b/>
          <w:color w:val="000000" w:themeColor="text1"/>
          <w:sz w:val="44"/>
          <w:szCs w:val="44"/>
          <w14:textFill>
            <w14:solidFill>
              <w14:schemeClr w14:val="tx1"/>
            </w14:solidFill>
          </w14:textFill>
        </w:rPr>
        <w:t>挂网比选药品资料目录</w:t>
      </w:r>
      <w:bookmarkStart w:id="0" w:name="_GoBack"/>
      <w:bookmarkEnd w:id="0"/>
    </w:p>
    <w:p w14:paraId="3756BDF6">
      <w:pPr>
        <w:pStyle w:val="5"/>
        <w:shd w:val="clear" w:color="auto" w:fill="FFFFFF"/>
        <w:spacing w:before="0" w:beforeAutospacing="0" w:after="136" w:afterAutospacing="0"/>
        <w:rPr>
          <w:rFonts w:hint="eastAsia" w:ascii="华文楷体" w:hAnsi="华文楷体" w:eastAsia="华文楷体" w:cs="华文楷体"/>
          <w:b/>
          <w:color w:val="000000" w:themeColor="text1"/>
          <w:sz w:val="10"/>
          <w:szCs w:val="10"/>
          <w14:textFill>
            <w14:solidFill>
              <w14:schemeClr w14:val="tx1"/>
            </w14:solidFill>
          </w14:textFill>
        </w:rPr>
      </w:pPr>
    </w:p>
    <w:tbl>
      <w:tblPr>
        <w:tblStyle w:val="7"/>
        <w:tblW w:w="10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8647"/>
      </w:tblGrid>
      <w:tr w14:paraId="7004E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413" w:type="dxa"/>
          </w:tcPr>
          <w:p w14:paraId="6783F6BA">
            <w:pPr>
              <w:pStyle w:val="5"/>
              <w:spacing w:before="0" w:beforeAutospacing="0" w:after="0" w:afterAutospacing="0" w:line="315" w:lineRule="atLeast"/>
              <w:jc w:val="center"/>
              <w:rPr>
                <w:rFonts w:hint="eastAsia"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序号</w:t>
            </w:r>
          </w:p>
        </w:tc>
        <w:tc>
          <w:tcPr>
            <w:tcW w:w="8647" w:type="dxa"/>
          </w:tcPr>
          <w:p w14:paraId="721D0C4A">
            <w:pPr>
              <w:pStyle w:val="5"/>
              <w:spacing w:before="0" w:beforeAutospacing="0" w:after="0" w:afterAutospacing="0" w:line="315" w:lineRule="atLeast"/>
              <w:jc w:val="center"/>
              <w:rPr>
                <w:rFonts w:hint="eastAsia"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资料</w:t>
            </w:r>
          </w:p>
        </w:tc>
      </w:tr>
      <w:tr w14:paraId="14967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Pr>
          <w:p w14:paraId="6A5C3840">
            <w:pPr>
              <w:pStyle w:val="5"/>
              <w:spacing w:before="0" w:beforeAutospacing="0" w:after="0" w:afterAutospacing="0" w:line="315" w:lineRule="atLeast"/>
              <w:jc w:val="center"/>
              <w:rPr>
                <w:rFonts w:hint="eastAsia"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1</w:t>
            </w:r>
          </w:p>
        </w:tc>
        <w:tc>
          <w:tcPr>
            <w:tcW w:w="8647" w:type="dxa"/>
          </w:tcPr>
          <w:p w14:paraId="2D5BB6FD">
            <w:pPr>
              <w:pStyle w:val="5"/>
              <w:spacing w:before="0" w:beforeAutospacing="0" w:after="0" w:afterAutospacing="0" w:line="315" w:lineRule="atLeast"/>
              <w:rPr>
                <w:rFonts w:hint="eastAsia"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附件3：药品申报信息表</w:t>
            </w:r>
          </w:p>
        </w:tc>
      </w:tr>
      <w:tr w14:paraId="3B301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Pr>
          <w:p w14:paraId="2C986A66">
            <w:pPr>
              <w:pStyle w:val="5"/>
              <w:spacing w:before="0" w:beforeAutospacing="0" w:after="0" w:afterAutospacing="0" w:line="315" w:lineRule="atLeast"/>
              <w:jc w:val="center"/>
              <w:rPr>
                <w:rFonts w:hint="eastAsia"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2</w:t>
            </w:r>
          </w:p>
        </w:tc>
        <w:tc>
          <w:tcPr>
            <w:tcW w:w="8647" w:type="dxa"/>
          </w:tcPr>
          <w:p w14:paraId="43854498">
            <w:pPr>
              <w:pStyle w:val="5"/>
              <w:spacing w:before="0" w:beforeAutospacing="0" w:after="0" w:afterAutospacing="0" w:line="315" w:lineRule="atLeast"/>
              <w:rPr>
                <w:rFonts w:hint="eastAsia"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附件4：药品申报承诺书</w:t>
            </w:r>
          </w:p>
        </w:tc>
      </w:tr>
      <w:tr w14:paraId="13E13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Pr>
          <w:p w14:paraId="4B2293E7">
            <w:pPr>
              <w:pStyle w:val="5"/>
              <w:spacing w:before="0" w:beforeAutospacing="0" w:after="0" w:afterAutospacing="0" w:line="315" w:lineRule="atLeast"/>
              <w:jc w:val="center"/>
              <w:rPr>
                <w:rFonts w:hint="eastAsia"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3</w:t>
            </w:r>
          </w:p>
        </w:tc>
        <w:tc>
          <w:tcPr>
            <w:tcW w:w="8647" w:type="dxa"/>
          </w:tcPr>
          <w:p w14:paraId="03489C9F">
            <w:pPr>
              <w:pStyle w:val="5"/>
              <w:spacing w:before="0" w:beforeAutospacing="0" w:after="0" w:afterAutospacing="0" w:line="315" w:lineRule="atLeast"/>
              <w:rPr>
                <w:rFonts w:hint="eastAsia"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附件5：药品廉洁准入承诺书</w:t>
            </w:r>
          </w:p>
        </w:tc>
      </w:tr>
      <w:tr w14:paraId="51772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Pr>
          <w:p w14:paraId="291A2487">
            <w:pPr>
              <w:pStyle w:val="5"/>
              <w:spacing w:before="0" w:beforeAutospacing="0" w:after="0" w:afterAutospacing="0" w:line="315" w:lineRule="atLeast"/>
              <w:jc w:val="center"/>
              <w:rPr>
                <w:rFonts w:hint="eastAsia"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4</w:t>
            </w:r>
          </w:p>
        </w:tc>
        <w:tc>
          <w:tcPr>
            <w:tcW w:w="8647" w:type="dxa"/>
          </w:tcPr>
          <w:p w14:paraId="3AA529F4">
            <w:pPr>
              <w:pStyle w:val="5"/>
              <w:spacing w:before="0" w:beforeAutospacing="0" w:after="0" w:afterAutospacing="0" w:line="315" w:lineRule="atLeast"/>
              <w:rPr>
                <w:rFonts w:hint="eastAsia"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附件6：药品质量保证承诺书</w:t>
            </w:r>
          </w:p>
        </w:tc>
      </w:tr>
      <w:tr w14:paraId="2C6FC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Pr>
          <w:p w14:paraId="77933A8B">
            <w:pPr>
              <w:pStyle w:val="5"/>
              <w:spacing w:before="0" w:beforeAutospacing="0" w:after="0" w:afterAutospacing="0" w:line="315" w:lineRule="atLeast"/>
              <w:jc w:val="center"/>
              <w:rPr>
                <w:rFonts w:hint="eastAsia"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5</w:t>
            </w:r>
          </w:p>
        </w:tc>
        <w:tc>
          <w:tcPr>
            <w:tcW w:w="8647" w:type="dxa"/>
          </w:tcPr>
          <w:p w14:paraId="6F3667B5">
            <w:pPr>
              <w:pStyle w:val="5"/>
              <w:spacing w:before="0" w:beforeAutospacing="0" w:after="0" w:afterAutospacing="0" w:line="315" w:lineRule="atLeast"/>
              <w:rPr>
                <w:rFonts w:hint="eastAsia"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附件7：厂家委托申明书</w:t>
            </w:r>
          </w:p>
        </w:tc>
      </w:tr>
      <w:tr w14:paraId="6C21D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Pr>
          <w:p w14:paraId="089CDD59">
            <w:pPr>
              <w:pStyle w:val="5"/>
              <w:spacing w:before="0" w:beforeAutospacing="0" w:after="0" w:afterAutospacing="0" w:line="315" w:lineRule="atLeast"/>
              <w:jc w:val="center"/>
              <w:rPr>
                <w:rFonts w:hint="eastAsia"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6</w:t>
            </w:r>
          </w:p>
        </w:tc>
        <w:tc>
          <w:tcPr>
            <w:tcW w:w="8647" w:type="dxa"/>
          </w:tcPr>
          <w:p w14:paraId="61510193">
            <w:pPr>
              <w:pStyle w:val="5"/>
              <w:spacing w:before="0" w:beforeAutospacing="0" w:after="0" w:afterAutospacing="0" w:line="315" w:lineRule="atLeast"/>
              <w:rPr>
                <w:rFonts w:hint="eastAsia"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附件8：价格及供应承诺书</w:t>
            </w:r>
          </w:p>
        </w:tc>
      </w:tr>
      <w:tr w14:paraId="6976C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413" w:type="dxa"/>
          </w:tcPr>
          <w:p w14:paraId="663D6466">
            <w:pPr>
              <w:pStyle w:val="5"/>
              <w:spacing w:before="0" w:beforeAutospacing="0" w:after="0" w:afterAutospacing="0" w:line="315" w:lineRule="atLeast"/>
              <w:jc w:val="center"/>
              <w:rPr>
                <w:rFonts w:hint="eastAsia"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7</w:t>
            </w:r>
          </w:p>
        </w:tc>
        <w:tc>
          <w:tcPr>
            <w:tcW w:w="8647" w:type="dxa"/>
          </w:tcPr>
          <w:p w14:paraId="25C3D9B9">
            <w:pPr>
              <w:pStyle w:val="5"/>
              <w:spacing w:before="0" w:beforeAutospacing="0" w:after="0" w:afterAutospacing="0" w:line="315" w:lineRule="atLeast"/>
              <w:rPr>
                <w:rFonts w:hint="eastAsia"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附件9：“两票制”药品配送授权委托书</w:t>
            </w:r>
          </w:p>
        </w:tc>
      </w:tr>
      <w:tr w14:paraId="2AE70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Pr>
          <w:p w14:paraId="43BB6AFF">
            <w:pPr>
              <w:spacing w:line="480" w:lineRule="exact"/>
              <w:jc w:val="center"/>
              <w:rPr>
                <w:rFonts w:hint="eastAsia" w:ascii="华文楷体" w:hAnsi="华文楷体" w:eastAsia="华文楷体" w:cs="华文楷体"/>
                <w:color w:val="000000" w:themeColor="text1"/>
                <w:kern w:val="0"/>
                <w:sz w:val="24"/>
                <w:szCs w:val="24"/>
                <w14:textFill>
                  <w14:solidFill>
                    <w14:schemeClr w14:val="tx1"/>
                  </w14:solidFill>
                </w14:textFill>
              </w:rPr>
            </w:pPr>
            <w:r>
              <w:rPr>
                <w:rFonts w:hint="eastAsia" w:ascii="华文楷体" w:hAnsi="华文楷体" w:eastAsia="华文楷体" w:cs="华文楷体"/>
                <w:color w:val="000000" w:themeColor="text1"/>
                <w:kern w:val="0"/>
                <w:sz w:val="24"/>
                <w:szCs w:val="24"/>
                <w14:textFill>
                  <w14:solidFill>
                    <w14:schemeClr w14:val="tx1"/>
                  </w14:solidFill>
                </w14:textFill>
              </w:rPr>
              <w:t>8</w:t>
            </w:r>
          </w:p>
        </w:tc>
        <w:tc>
          <w:tcPr>
            <w:tcW w:w="8647" w:type="dxa"/>
          </w:tcPr>
          <w:p w14:paraId="50E307FC">
            <w:pPr>
              <w:spacing w:line="480" w:lineRule="exact"/>
              <w:rPr>
                <w:rFonts w:hint="eastAsia" w:ascii="华文楷体" w:hAnsi="华文楷体" w:eastAsia="华文楷体" w:cs="华文楷体"/>
                <w:color w:val="000000" w:themeColor="text1"/>
                <w:kern w:val="0"/>
                <w:sz w:val="24"/>
                <w:szCs w:val="24"/>
                <w14:textFill>
                  <w14:solidFill>
                    <w14:schemeClr w14:val="tx1"/>
                  </w14:solidFill>
                </w14:textFill>
              </w:rPr>
            </w:pPr>
            <w:r>
              <w:rPr>
                <w:rFonts w:hint="eastAsia" w:ascii="华文楷体" w:hAnsi="华文楷体" w:eastAsia="华文楷体" w:cs="华文楷体"/>
                <w:color w:val="000000" w:themeColor="text1"/>
                <w:kern w:val="0"/>
                <w:sz w:val="24"/>
                <w:szCs w:val="24"/>
                <w14:textFill>
                  <w14:solidFill>
                    <w14:schemeClr w14:val="tx1"/>
                  </w14:solidFill>
                </w14:textFill>
              </w:rPr>
              <w:t>药品质量证明相关材料，包括：</w:t>
            </w:r>
          </w:p>
          <w:p w14:paraId="285D1963">
            <w:pPr>
              <w:spacing w:line="480" w:lineRule="exact"/>
              <w:rPr>
                <w:rFonts w:hint="eastAsia" w:ascii="华文楷体" w:hAnsi="华文楷体" w:eastAsia="华文楷体" w:cs="华文楷体"/>
                <w:color w:val="000000" w:themeColor="text1"/>
                <w:kern w:val="0"/>
                <w:sz w:val="24"/>
                <w:szCs w:val="24"/>
                <w14:textFill>
                  <w14:solidFill>
                    <w14:schemeClr w14:val="tx1"/>
                  </w14:solidFill>
                </w14:textFill>
              </w:rPr>
            </w:pPr>
            <w:r>
              <w:rPr>
                <w:rFonts w:hint="eastAsia" w:ascii="华文楷体" w:hAnsi="华文楷体" w:eastAsia="华文楷体" w:cs="华文楷体"/>
                <w:color w:val="000000" w:themeColor="text1"/>
                <w:kern w:val="0"/>
                <w:sz w:val="24"/>
                <w:szCs w:val="24"/>
                <w14:textFill>
                  <w14:solidFill>
                    <w14:schemeClr w14:val="tx1"/>
                  </w14:solidFill>
                </w14:textFill>
              </w:rPr>
              <w:t>1）药品生产企业营业执照、药品生产许可证、药品GMP证书（复印件，须清晰并加盖生产企业鲜章；全进口药品提供全国总代理相关资质，如药品经营许可证、GSP证书）；</w:t>
            </w:r>
          </w:p>
          <w:p w14:paraId="4EFB30D8">
            <w:pPr>
              <w:spacing w:line="480" w:lineRule="exact"/>
              <w:rPr>
                <w:rFonts w:hint="eastAsia" w:ascii="华文楷体" w:hAnsi="华文楷体" w:eastAsia="华文楷体" w:cs="华文楷体"/>
                <w:color w:val="000000" w:themeColor="text1"/>
                <w:kern w:val="0"/>
                <w:sz w:val="24"/>
                <w:szCs w:val="24"/>
                <w14:textFill>
                  <w14:solidFill>
                    <w14:schemeClr w14:val="tx1"/>
                  </w14:solidFill>
                </w14:textFill>
              </w:rPr>
            </w:pPr>
            <w:r>
              <w:rPr>
                <w:rFonts w:hint="eastAsia" w:ascii="华文楷体" w:hAnsi="华文楷体" w:eastAsia="华文楷体" w:cs="华文楷体"/>
                <w:color w:val="000000" w:themeColor="text1"/>
                <w:kern w:val="0"/>
                <w:sz w:val="24"/>
                <w:szCs w:val="24"/>
                <w14:textFill>
                  <w14:solidFill>
                    <w14:schemeClr w14:val="tx1"/>
                  </w14:solidFill>
                </w14:textFill>
              </w:rPr>
              <w:t>2）药品注册批件（复印件，须清晰并加盖生产企业鲜章；进口药品加盖全国总代理商鲜章；药品注册证过期须提供有效期内的药品再注册批件，有变更事宜需提交药品补充申请批件）；</w:t>
            </w:r>
          </w:p>
          <w:p w14:paraId="0233B1D8">
            <w:pPr>
              <w:spacing w:line="480" w:lineRule="exact"/>
              <w:rPr>
                <w:rFonts w:hint="eastAsia" w:ascii="华文楷体" w:hAnsi="华文楷体" w:eastAsia="华文楷体" w:cs="华文楷体"/>
                <w:color w:val="000000" w:themeColor="text1"/>
                <w:kern w:val="0"/>
                <w:sz w:val="24"/>
                <w:szCs w:val="24"/>
                <w14:textFill>
                  <w14:solidFill>
                    <w14:schemeClr w14:val="tx1"/>
                  </w14:solidFill>
                </w14:textFill>
              </w:rPr>
            </w:pPr>
            <w:r>
              <w:rPr>
                <w:rFonts w:hint="eastAsia" w:ascii="华文楷体" w:hAnsi="华文楷体" w:eastAsia="华文楷体" w:cs="华文楷体"/>
                <w:color w:val="000000" w:themeColor="text1"/>
                <w:kern w:val="0"/>
                <w:sz w:val="24"/>
                <w:szCs w:val="24"/>
                <w14:textFill>
                  <w14:solidFill>
                    <w14:schemeClr w14:val="tx1"/>
                  </w14:solidFill>
                </w14:textFill>
              </w:rPr>
              <w:t>3）省（市）级或入关口岸药检所药品质量检验报告书；</w:t>
            </w:r>
          </w:p>
          <w:p w14:paraId="31306A6D">
            <w:pPr>
              <w:spacing w:line="480" w:lineRule="exact"/>
              <w:rPr>
                <w:rFonts w:hint="eastAsia" w:ascii="华文楷体" w:hAnsi="华文楷体" w:eastAsia="华文楷体" w:cs="华文楷体"/>
                <w:color w:val="000000" w:themeColor="text1"/>
                <w:kern w:val="0"/>
                <w:sz w:val="24"/>
                <w:szCs w:val="24"/>
                <w14:textFill>
                  <w14:solidFill>
                    <w14:schemeClr w14:val="tx1"/>
                  </w14:solidFill>
                </w14:textFill>
              </w:rPr>
            </w:pPr>
            <w:r>
              <w:rPr>
                <w:rFonts w:hint="eastAsia" w:ascii="华文楷体" w:hAnsi="华文楷体" w:eastAsia="华文楷体" w:cs="华文楷体"/>
                <w:color w:val="000000" w:themeColor="text1"/>
                <w:kern w:val="0"/>
                <w:sz w:val="24"/>
                <w:szCs w:val="24"/>
                <w14:textFill>
                  <w14:solidFill>
                    <w14:schemeClr w14:val="tx1"/>
                  </w14:solidFill>
                </w14:textFill>
              </w:rPr>
              <w:t>4）国家药品质量标准文件（药典或局颁标准）；</w:t>
            </w:r>
          </w:p>
          <w:p w14:paraId="0B46F553">
            <w:pPr>
              <w:spacing w:line="480" w:lineRule="exact"/>
              <w:rPr>
                <w:rFonts w:hint="eastAsia" w:ascii="华文楷体" w:hAnsi="华文楷体" w:eastAsia="华文楷体" w:cs="华文楷体"/>
                <w:color w:val="000000" w:themeColor="text1"/>
                <w:kern w:val="0"/>
                <w:sz w:val="24"/>
                <w:szCs w:val="24"/>
                <w14:textFill>
                  <w14:solidFill>
                    <w14:schemeClr w14:val="tx1"/>
                  </w14:solidFill>
                </w14:textFill>
              </w:rPr>
            </w:pPr>
            <w:r>
              <w:rPr>
                <w:rFonts w:hint="eastAsia" w:ascii="华文楷体" w:hAnsi="华文楷体" w:eastAsia="华文楷体" w:cs="华文楷体"/>
                <w:color w:val="000000" w:themeColor="text1"/>
                <w:kern w:val="0"/>
                <w:sz w:val="24"/>
                <w:szCs w:val="24"/>
                <w14:textFill>
                  <w14:solidFill>
                    <w14:schemeClr w14:val="tx1"/>
                  </w14:solidFill>
                </w14:textFill>
              </w:rPr>
              <w:t>5）经国家药品监督管理局批准的法定药品说明书及外包装；</w:t>
            </w:r>
          </w:p>
          <w:p w14:paraId="6F291600">
            <w:pPr>
              <w:spacing w:line="480" w:lineRule="exact"/>
              <w:rPr>
                <w:rFonts w:hint="eastAsia" w:ascii="华文楷体" w:hAnsi="华文楷体" w:eastAsia="华文楷体" w:cs="华文楷体"/>
                <w:color w:val="000000" w:themeColor="text1"/>
                <w:kern w:val="0"/>
                <w:sz w:val="24"/>
                <w:szCs w:val="24"/>
                <w14:textFill>
                  <w14:solidFill>
                    <w14:schemeClr w14:val="tx1"/>
                  </w14:solidFill>
                </w14:textFill>
              </w:rPr>
            </w:pPr>
            <w:r>
              <w:rPr>
                <w:rFonts w:hint="eastAsia" w:ascii="华文楷体" w:hAnsi="华文楷体" w:eastAsia="华文楷体" w:cs="华文楷体"/>
                <w:color w:val="000000" w:themeColor="text1"/>
                <w:kern w:val="0"/>
                <w:sz w:val="24"/>
                <w:szCs w:val="24"/>
                <w14:textFill>
                  <w14:solidFill>
                    <w14:schemeClr w14:val="tx1"/>
                  </w14:solidFill>
                </w14:textFill>
              </w:rPr>
              <w:t>6）属于国家“1.1类新药”品种的，须提供相关证明材料；</w:t>
            </w:r>
          </w:p>
          <w:p w14:paraId="09A05BB7">
            <w:pPr>
              <w:spacing w:line="480" w:lineRule="exact"/>
              <w:rPr>
                <w:rFonts w:hint="default" w:ascii="华文楷体" w:hAnsi="华文楷体" w:eastAsia="华文楷体" w:cs="华文楷体"/>
                <w:color w:val="000000" w:themeColor="text1"/>
                <w:kern w:val="0"/>
                <w:sz w:val="24"/>
                <w:szCs w:val="24"/>
                <w:lang w:val="en-US" w:eastAsia="zh-CN"/>
                <w14:textFill>
                  <w14:solidFill>
                    <w14:schemeClr w14:val="tx1"/>
                  </w14:solidFill>
                </w14:textFill>
              </w:rPr>
            </w:pPr>
            <w:r>
              <w:rPr>
                <w:rFonts w:hint="eastAsia" w:ascii="华文楷体" w:hAnsi="华文楷体" w:eastAsia="华文楷体" w:cs="华文楷体"/>
                <w:color w:val="000000" w:themeColor="text1"/>
                <w:kern w:val="0"/>
                <w:sz w:val="24"/>
                <w:szCs w:val="24"/>
                <w14:textFill>
                  <w14:solidFill>
                    <w14:schemeClr w14:val="tx1"/>
                  </w14:solidFill>
                </w14:textFill>
              </w:rPr>
              <w:t>7）已通过一致性评价的品种，须提交相关证明材料</w:t>
            </w:r>
            <w:r>
              <w:rPr>
                <w:rFonts w:hint="eastAsia" w:ascii="华文楷体" w:hAnsi="华文楷体" w:eastAsia="华文楷体" w:cs="华文楷体"/>
                <w:color w:val="000000" w:themeColor="text1"/>
                <w:kern w:val="0"/>
                <w:sz w:val="24"/>
                <w:szCs w:val="24"/>
                <w:lang w:val="en-US" w:eastAsia="zh-CN"/>
                <w14:textFill>
                  <w14:solidFill>
                    <w14:schemeClr w14:val="tx1"/>
                  </w14:solidFill>
                </w14:textFill>
              </w:rPr>
              <w:t>;</w:t>
            </w:r>
          </w:p>
        </w:tc>
      </w:tr>
    </w:tbl>
    <w:p w14:paraId="1FFA8F76">
      <w:pPr>
        <w:spacing w:line="480" w:lineRule="exact"/>
        <w:jc w:val="center"/>
        <w:rPr>
          <w:rFonts w:hint="eastAsia" w:ascii="华文楷体" w:hAnsi="华文楷体" w:eastAsia="华文楷体" w:cs="华文楷体"/>
          <w:color w:val="000000" w:themeColor="text1"/>
          <w:kern w:val="0"/>
          <w:sz w:val="24"/>
          <w:szCs w:val="24"/>
          <w:lang w:val="en-US" w:eastAsia="zh-CN"/>
          <w14:textFill>
            <w14:solidFill>
              <w14:schemeClr w14:val="tx1"/>
            </w14:solidFill>
          </w14:textFill>
        </w:rPr>
      </w:pPr>
      <w:r>
        <w:rPr>
          <w:rFonts w:hint="eastAsia" w:ascii="华文楷体" w:hAnsi="华文楷体" w:eastAsia="华文楷体" w:cs="华文楷体"/>
          <w:color w:val="000000" w:themeColor="text1"/>
          <w:kern w:val="0"/>
          <w:sz w:val="24"/>
          <w:szCs w:val="24"/>
          <w:lang w:val="en-US" w:eastAsia="zh-CN"/>
          <w14:textFill>
            <w14:solidFill>
              <w14:schemeClr w14:val="tx1"/>
            </w14:solidFill>
          </w14:textFill>
        </w:rPr>
        <w:br w:type="page"/>
      </w:r>
    </w:p>
    <w:tbl>
      <w:tblPr>
        <w:tblStyle w:val="7"/>
        <w:tblW w:w="10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8647"/>
      </w:tblGrid>
      <w:tr w14:paraId="78B25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Pr>
          <w:p w14:paraId="16B7C773">
            <w:pPr>
              <w:spacing w:line="480" w:lineRule="exact"/>
              <w:jc w:val="center"/>
              <w:rPr>
                <w:rFonts w:hint="eastAsia" w:ascii="华文楷体" w:hAnsi="华文楷体" w:eastAsia="华文楷体" w:cs="华文楷体"/>
                <w:color w:val="000000" w:themeColor="text1"/>
                <w:kern w:val="0"/>
                <w:sz w:val="24"/>
                <w:szCs w:val="24"/>
                <w:lang w:val="en-US" w:eastAsia="zh-CN"/>
                <w14:textFill>
                  <w14:solidFill>
                    <w14:schemeClr w14:val="tx1"/>
                  </w14:solidFill>
                </w14:textFill>
              </w:rPr>
            </w:pPr>
            <w:r>
              <w:rPr>
                <w:rFonts w:hint="eastAsia" w:ascii="华文楷体" w:hAnsi="华文楷体" w:eastAsia="华文楷体" w:cs="华文楷体"/>
                <w:color w:val="000000" w:themeColor="text1"/>
                <w:kern w:val="0"/>
                <w:sz w:val="24"/>
                <w:szCs w:val="24"/>
                <w:lang w:val="en-US" w:eastAsia="zh-CN"/>
                <w14:textFill>
                  <w14:solidFill>
                    <w14:schemeClr w14:val="tx1"/>
                  </w14:solidFill>
                </w14:textFill>
              </w:rPr>
              <w:t>9</w:t>
            </w:r>
          </w:p>
        </w:tc>
        <w:tc>
          <w:tcPr>
            <w:tcW w:w="8647" w:type="dxa"/>
          </w:tcPr>
          <w:p w14:paraId="58325614">
            <w:pPr>
              <w:spacing w:line="480" w:lineRule="exact"/>
              <w:rPr>
                <w:rFonts w:hint="eastAsia" w:ascii="华文楷体" w:hAnsi="华文楷体" w:eastAsia="华文楷体" w:cs="华文楷体"/>
                <w:color w:val="000000" w:themeColor="text1"/>
                <w:kern w:val="0"/>
                <w:sz w:val="24"/>
                <w:szCs w:val="24"/>
                <w14:textFill>
                  <w14:solidFill>
                    <w14:schemeClr w14:val="tx1"/>
                  </w14:solidFill>
                </w14:textFill>
              </w:rPr>
            </w:pPr>
            <w:r>
              <w:rPr>
                <w:rFonts w:hint="eastAsia" w:ascii="华文楷体" w:hAnsi="华文楷体" w:eastAsia="华文楷体" w:cs="华文楷体"/>
                <w:color w:val="000000" w:themeColor="text1"/>
                <w:kern w:val="0"/>
                <w:sz w:val="24"/>
                <w:szCs w:val="24"/>
                <w:lang w:val="en-US" w:eastAsia="zh-CN"/>
                <w14:textFill>
                  <w14:solidFill>
                    <w14:schemeClr w14:val="tx1"/>
                  </w14:solidFill>
                </w14:textFill>
              </w:rPr>
              <w:t>其他说明</w:t>
            </w:r>
            <w:r>
              <w:rPr>
                <w:rFonts w:hint="eastAsia" w:ascii="华文楷体" w:hAnsi="华文楷体" w:eastAsia="华文楷体" w:cs="华文楷体"/>
                <w:color w:val="000000" w:themeColor="text1"/>
                <w:kern w:val="0"/>
                <w:sz w:val="24"/>
                <w:szCs w:val="24"/>
                <w14:textFill>
                  <w14:solidFill>
                    <w14:schemeClr w14:val="tx1"/>
                  </w14:solidFill>
                </w14:textFill>
              </w:rPr>
              <w:t>材料</w:t>
            </w:r>
            <w:r>
              <w:rPr>
                <w:rFonts w:hint="eastAsia" w:ascii="华文楷体" w:hAnsi="华文楷体" w:eastAsia="华文楷体" w:cs="华文楷体"/>
                <w:color w:val="000000" w:themeColor="text1"/>
                <w:kern w:val="0"/>
                <w:sz w:val="24"/>
                <w:szCs w:val="24"/>
                <w:lang w:eastAsia="zh-CN"/>
                <w14:textFill>
                  <w14:solidFill>
                    <w14:schemeClr w14:val="tx1"/>
                  </w14:solidFill>
                </w14:textFill>
              </w:rPr>
              <w:t>（</w:t>
            </w:r>
            <w:r>
              <w:rPr>
                <w:rFonts w:hint="eastAsia" w:ascii="华文楷体" w:hAnsi="华文楷体" w:eastAsia="华文楷体" w:cs="华文楷体"/>
                <w:color w:val="000000" w:themeColor="text1"/>
                <w:kern w:val="0"/>
                <w:sz w:val="24"/>
                <w:szCs w:val="24"/>
                <w:lang w:val="en-US" w:eastAsia="zh-CN"/>
                <w14:textFill>
                  <w14:solidFill>
                    <w14:schemeClr w14:val="tx1"/>
                  </w14:solidFill>
                </w14:textFill>
              </w:rPr>
              <w:t>按提供材料情况打分</w:t>
            </w:r>
            <w:r>
              <w:rPr>
                <w:rFonts w:hint="eastAsia" w:ascii="华文楷体" w:hAnsi="华文楷体" w:eastAsia="华文楷体" w:cs="华文楷体"/>
                <w:color w:val="000000" w:themeColor="text1"/>
                <w:kern w:val="0"/>
                <w:sz w:val="24"/>
                <w:szCs w:val="24"/>
                <w:lang w:eastAsia="zh-CN"/>
                <w14:textFill>
                  <w14:solidFill>
                    <w14:schemeClr w14:val="tx1"/>
                  </w14:solidFill>
                </w14:textFill>
              </w:rPr>
              <w:t>）</w:t>
            </w:r>
            <w:r>
              <w:rPr>
                <w:rFonts w:hint="eastAsia" w:ascii="华文楷体" w:hAnsi="华文楷体" w:eastAsia="华文楷体" w:cs="华文楷体"/>
                <w:color w:val="000000" w:themeColor="text1"/>
                <w:kern w:val="0"/>
                <w:sz w:val="24"/>
                <w:szCs w:val="24"/>
                <w14:textFill>
                  <w14:solidFill>
                    <w14:schemeClr w14:val="tx1"/>
                  </w14:solidFill>
                </w14:textFill>
              </w:rPr>
              <w:t>：</w:t>
            </w:r>
          </w:p>
          <w:p w14:paraId="30B984AD">
            <w:pPr>
              <w:numPr>
                <w:ilvl w:val="0"/>
                <w:numId w:val="1"/>
              </w:numPr>
              <w:spacing w:line="480" w:lineRule="exact"/>
              <w:rPr>
                <w:rFonts w:hint="eastAsia" w:ascii="华文楷体" w:hAnsi="华文楷体" w:eastAsia="华文楷体" w:cs="华文楷体"/>
                <w:color w:val="auto"/>
                <w:spacing w:val="7"/>
                <w:sz w:val="24"/>
                <w:szCs w:val="24"/>
                <w:u w:val="none"/>
              </w:rPr>
            </w:pPr>
            <w:r>
              <w:rPr>
                <w:rFonts w:hint="eastAsia" w:ascii="华文楷体" w:hAnsi="华文楷体" w:eastAsia="华文楷体" w:cs="华文楷体"/>
                <w:b w:val="0"/>
                <w:bCs w:val="0"/>
                <w:i w:val="0"/>
                <w:strike w:val="0"/>
                <w:color w:val="auto"/>
                <w:spacing w:val="0"/>
                <w:sz w:val="24"/>
                <w:szCs w:val="24"/>
                <w:u w:val="none"/>
                <w:lang w:val="en-US" w:eastAsia="zh-CN"/>
              </w:rPr>
              <w:t>原研药品/参比制剂或</w:t>
            </w:r>
            <w:r>
              <w:rPr>
                <w:rFonts w:hint="eastAsia" w:ascii="华文楷体" w:hAnsi="华文楷体" w:eastAsia="华文楷体" w:cs="华文楷体"/>
                <w:color w:val="auto"/>
                <w:spacing w:val="9"/>
                <w:sz w:val="24"/>
                <w:szCs w:val="24"/>
                <w:u w:val="none"/>
              </w:rPr>
              <w:t>首</w:t>
            </w:r>
            <w:r>
              <w:rPr>
                <w:rFonts w:hint="eastAsia" w:ascii="华文楷体" w:hAnsi="华文楷体" w:eastAsia="华文楷体" w:cs="华文楷体"/>
                <w:color w:val="auto"/>
                <w:spacing w:val="6"/>
                <w:sz w:val="24"/>
                <w:szCs w:val="24"/>
                <w:u w:val="none"/>
                <w:lang w:val="en-US" w:eastAsia="zh-CN"/>
              </w:rPr>
              <w:t>仿</w:t>
            </w:r>
            <w:r>
              <w:rPr>
                <w:rFonts w:hint="eastAsia" w:ascii="华文楷体" w:hAnsi="华文楷体" w:eastAsia="华文楷体" w:cs="华文楷体"/>
                <w:color w:val="auto"/>
                <w:spacing w:val="6"/>
                <w:sz w:val="24"/>
                <w:szCs w:val="24"/>
                <w:u w:val="none"/>
              </w:rPr>
              <w:t>药</w:t>
            </w:r>
            <w:r>
              <w:rPr>
                <w:rFonts w:hint="eastAsia" w:ascii="华文楷体" w:hAnsi="华文楷体" w:eastAsia="华文楷体" w:cs="华文楷体"/>
                <w:color w:val="auto"/>
                <w:spacing w:val="8"/>
                <w:sz w:val="24"/>
                <w:szCs w:val="24"/>
                <w:u w:val="none"/>
              </w:rPr>
              <w:t>品</w:t>
            </w:r>
            <w:r>
              <w:rPr>
                <w:rFonts w:hint="eastAsia" w:ascii="华文楷体" w:hAnsi="华文楷体" w:eastAsia="华文楷体" w:cs="华文楷体"/>
                <w:color w:val="auto"/>
                <w:spacing w:val="8"/>
                <w:sz w:val="24"/>
                <w:szCs w:val="24"/>
                <w:u w:val="none"/>
                <w:lang w:val="en-US" w:eastAsia="zh-CN"/>
              </w:rPr>
              <w:t>证明</w:t>
            </w:r>
            <w:r>
              <w:rPr>
                <w:rFonts w:hint="eastAsia" w:ascii="华文楷体" w:hAnsi="华文楷体" w:eastAsia="华文楷体" w:cs="华文楷体"/>
                <w:color w:val="auto"/>
                <w:spacing w:val="8"/>
                <w:sz w:val="24"/>
                <w:szCs w:val="24"/>
                <w:u w:val="none"/>
                <w:lang w:eastAsia="zh-CN"/>
              </w:rPr>
              <w:t>。</w:t>
            </w:r>
          </w:p>
          <w:p w14:paraId="14DCC234">
            <w:pPr>
              <w:numPr>
                <w:ilvl w:val="0"/>
                <w:numId w:val="1"/>
              </w:numPr>
              <w:spacing w:line="480" w:lineRule="exact"/>
              <w:rPr>
                <w:rFonts w:hint="eastAsia" w:ascii="华文楷体" w:hAnsi="华文楷体" w:eastAsia="华文楷体" w:cs="华文楷体"/>
                <w:color w:val="auto"/>
                <w:spacing w:val="7"/>
                <w:sz w:val="24"/>
                <w:szCs w:val="24"/>
                <w:u w:val="none"/>
                <w:lang w:val="en-US" w:eastAsia="zh-CN"/>
              </w:rPr>
            </w:pPr>
            <w:r>
              <w:rPr>
                <w:rFonts w:hint="eastAsia" w:ascii="华文楷体" w:hAnsi="华文楷体" w:eastAsia="华文楷体" w:cs="华文楷体"/>
                <w:color w:val="auto"/>
                <w:spacing w:val="23"/>
                <w:kern w:val="0"/>
                <w:sz w:val="24"/>
                <w:szCs w:val="24"/>
                <w:u w:val="none"/>
                <w:lang w:val="en-US" w:eastAsia="zh-CN"/>
              </w:rPr>
              <w:t>工信部《中国医药工业百强企业榜单》排名情况（以最新年度为准）。</w:t>
            </w:r>
          </w:p>
          <w:p w14:paraId="08F8D775">
            <w:pPr>
              <w:numPr>
                <w:ilvl w:val="0"/>
                <w:numId w:val="1"/>
              </w:numPr>
              <w:spacing w:line="480" w:lineRule="exact"/>
              <w:rPr>
                <w:rFonts w:hint="eastAsia" w:ascii="华文楷体" w:hAnsi="华文楷体" w:eastAsia="华文楷体" w:cs="华文楷体"/>
                <w:color w:val="auto"/>
                <w:spacing w:val="7"/>
                <w:sz w:val="24"/>
                <w:szCs w:val="24"/>
                <w:u w:val="none"/>
                <w:lang w:val="en-US" w:eastAsia="zh-CN"/>
              </w:rPr>
            </w:pPr>
            <w:r>
              <w:rPr>
                <w:rFonts w:hint="eastAsia" w:ascii="华文楷体" w:hAnsi="华文楷体" w:eastAsia="华文楷体" w:cs="华文楷体"/>
                <w:color w:val="auto"/>
                <w:spacing w:val="23"/>
                <w:kern w:val="0"/>
                <w:sz w:val="24"/>
                <w:szCs w:val="24"/>
                <w:u w:val="none"/>
                <w:lang w:val="en-US" w:eastAsia="zh-CN"/>
              </w:rPr>
              <w:t>企业实验室获得国家实验室（CNAS）认证或企业通过ISO14000环境管理体系认证。</w:t>
            </w:r>
          </w:p>
          <w:p w14:paraId="5B5B2BE9">
            <w:pPr>
              <w:numPr>
                <w:ilvl w:val="0"/>
                <w:numId w:val="1"/>
              </w:numPr>
              <w:spacing w:line="480" w:lineRule="exact"/>
              <w:rPr>
                <w:rFonts w:hint="eastAsia" w:ascii="华文楷体" w:hAnsi="华文楷体" w:eastAsia="华文楷体" w:cs="华文楷体"/>
                <w:color w:val="auto"/>
                <w:spacing w:val="7"/>
                <w:sz w:val="24"/>
                <w:szCs w:val="24"/>
                <w:u w:val="none"/>
                <w:lang w:val="en-US" w:eastAsia="zh-CN"/>
              </w:rPr>
            </w:pPr>
            <w:r>
              <w:rPr>
                <w:rFonts w:hint="eastAsia" w:ascii="华文楷体" w:hAnsi="华文楷体" w:eastAsia="华文楷体" w:cs="华文楷体"/>
                <w:color w:val="auto"/>
                <w:spacing w:val="23"/>
                <w:kern w:val="0"/>
                <w:sz w:val="24"/>
                <w:szCs w:val="24"/>
                <w:u w:val="none"/>
                <w:lang w:val="en-US" w:eastAsia="zh-CN"/>
              </w:rPr>
              <w:t>申报品种在本次招标前两年内不存在省级（含）以上药品监督管理部门质量检验不合格情况，且不存在因不符合药品生产质量管理规范被药品监督管理部门处以暂停生产、销售、使用、进口等控制措施的情况（其中涉及的仿制药是指通过国家药品监督管理部门仿制药质量和疗效一致性评价上市后出现上述情况的）。</w:t>
            </w:r>
          </w:p>
          <w:p w14:paraId="026E71E3">
            <w:pPr>
              <w:numPr>
                <w:ilvl w:val="0"/>
                <w:numId w:val="1"/>
              </w:numPr>
              <w:spacing w:line="480" w:lineRule="exact"/>
              <w:rPr>
                <w:rFonts w:hint="eastAsia" w:ascii="华文楷体" w:hAnsi="华文楷体" w:eastAsia="华文楷体" w:cs="华文楷体"/>
                <w:color w:val="auto"/>
                <w:spacing w:val="7"/>
                <w:sz w:val="24"/>
                <w:szCs w:val="24"/>
                <w:u w:val="none"/>
                <w:lang w:val="en-US" w:eastAsia="zh-CN"/>
              </w:rPr>
            </w:pPr>
            <w:r>
              <w:rPr>
                <w:rFonts w:hint="eastAsia" w:ascii="华文楷体" w:hAnsi="华文楷体" w:eastAsia="华文楷体" w:cs="华文楷体"/>
                <w:color w:val="auto"/>
                <w:spacing w:val="23"/>
                <w:kern w:val="0"/>
                <w:sz w:val="24"/>
                <w:szCs w:val="24"/>
                <w:u w:val="none"/>
                <w:lang w:val="en-US" w:eastAsia="zh-CN"/>
              </w:rPr>
              <w:t>该申报药品上一年度全国销售的公立医疗机构数量。</w:t>
            </w:r>
          </w:p>
          <w:p w14:paraId="446117F0">
            <w:pPr>
              <w:numPr>
                <w:ilvl w:val="0"/>
                <w:numId w:val="1"/>
              </w:numPr>
              <w:spacing w:line="480" w:lineRule="exact"/>
              <w:rPr>
                <w:rFonts w:hint="eastAsia" w:ascii="华文楷体" w:hAnsi="华文楷体" w:eastAsia="华文楷体" w:cs="华文楷体"/>
                <w:color w:val="auto"/>
                <w:spacing w:val="7"/>
                <w:sz w:val="24"/>
                <w:szCs w:val="24"/>
                <w:u w:val="none"/>
                <w:lang w:val="en-US" w:eastAsia="zh-CN"/>
              </w:rPr>
            </w:pPr>
            <w:r>
              <w:rPr>
                <w:rFonts w:hint="eastAsia" w:ascii="华文楷体" w:hAnsi="华文楷体" w:eastAsia="华文楷体" w:cs="华文楷体"/>
                <w:color w:val="auto"/>
                <w:spacing w:val="23"/>
                <w:kern w:val="0"/>
                <w:sz w:val="24"/>
                <w:szCs w:val="24"/>
                <w:u w:val="none"/>
                <w:lang w:val="en-US" w:eastAsia="zh-CN"/>
              </w:rPr>
              <w:t>该申报药品上一年度在阿坝州销售的公立医疗机构数量。</w:t>
            </w:r>
          </w:p>
          <w:p w14:paraId="3DE33492">
            <w:pPr>
              <w:numPr>
                <w:ilvl w:val="0"/>
                <w:numId w:val="1"/>
              </w:numPr>
              <w:spacing w:line="480" w:lineRule="exact"/>
              <w:rPr>
                <w:rFonts w:hint="eastAsia" w:ascii="华文楷体" w:hAnsi="华文楷体" w:eastAsia="华文楷体" w:cs="华文楷体"/>
                <w:color w:val="auto"/>
                <w:spacing w:val="7"/>
                <w:sz w:val="24"/>
                <w:szCs w:val="24"/>
                <w:u w:val="none"/>
                <w:lang w:val="en-US" w:eastAsia="zh-CN"/>
              </w:rPr>
            </w:pPr>
            <w:r>
              <w:rPr>
                <w:rFonts w:hint="eastAsia" w:ascii="华文楷体" w:hAnsi="华文楷体" w:eastAsia="华文楷体" w:cs="华文楷体"/>
                <w:color w:val="auto"/>
                <w:spacing w:val="7"/>
                <w:sz w:val="24"/>
                <w:szCs w:val="24"/>
                <w:u w:val="none"/>
                <w:lang w:val="en-US" w:eastAsia="zh-CN"/>
              </w:rPr>
              <w:t>生产企业参加本次药品集中采购活动前两年内，在药品生产活动中无严重违法记录或无投诉记录。</w:t>
            </w:r>
          </w:p>
          <w:p w14:paraId="58D9BCC5">
            <w:pPr>
              <w:numPr>
                <w:ilvl w:val="0"/>
                <w:numId w:val="1"/>
              </w:numPr>
              <w:spacing w:line="480" w:lineRule="exact"/>
              <w:rPr>
                <w:rFonts w:hint="eastAsia" w:ascii="华文楷体" w:hAnsi="华文楷体" w:eastAsia="华文楷体" w:cs="华文楷体"/>
                <w:color w:val="auto"/>
                <w:spacing w:val="7"/>
                <w:sz w:val="24"/>
                <w:szCs w:val="24"/>
                <w:u w:val="none"/>
                <w:lang w:val="en-US" w:eastAsia="zh-CN"/>
              </w:rPr>
            </w:pPr>
            <w:r>
              <w:rPr>
                <w:rFonts w:hint="eastAsia" w:ascii="华文楷体" w:hAnsi="华文楷体" w:eastAsia="华文楷体" w:cs="华文楷体"/>
                <w:color w:val="auto"/>
                <w:spacing w:val="7"/>
                <w:sz w:val="24"/>
                <w:szCs w:val="24"/>
                <w:u w:val="none"/>
                <w:lang w:val="en-US" w:eastAsia="zh-CN"/>
              </w:rPr>
              <w:t>生产企业未被列入当前《全国医药价格和招采失信企业风险警示名单》。</w:t>
            </w:r>
          </w:p>
          <w:p w14:paraId="42FAFF51">
            <w:pPr>
              <w:numPr>
                <w:ilvl w:val="0"/>
                <w:numId w:val="1"/>
              </w:numPr>
              <w:spacing w:line="480" w:lineRule="exact"/>
              <w:rPr>
                <w:rFonts w:hint="eastAsia" w:ascii="华文楷体" w:hAnsi="华文楷体" w:eastAsia="华文楷体" w:cs="华文楷体"/>
                <w:color w:val="auto"/>
                <w:spacing w:val="7"/>
                <w:sz w:val="24"/>
                <w:szCs w:val="24"/>
                <w:u w:val="none"/>
                <w:lang w:val="en-US" w:eastAsia="zh-CN"/>
              </w:rPr>
            </w:pPr>
            <w:r>
              <w:rPr>
                <w:rFonts w:hint="eastAsia" w:ascii="华文楷体" w:hAnsi="华文楷体" w:eastAsia="华文楷体" w:cs="华文楷体"/>
                <w:color w:val="auto"/>
                <w:spacing w:val="7"/>
                <w:sz w:val="24"/>
                <w:szCs w:val="24"/>
                <w:u w:val="none"/>
                <w:lang w:val="en-US" w:eastAsia="zh-CN"/>
              </w:rPr>
              <w:t>生产企业参与阿坝州地区慈善活动情况。</w:t>
            </w:r>
          </w:p>
          <w:p w14:paraId="3C28E0CF">
            <w:pPr>
              <w:numPr>
                <w:ilvl w:val="0"/>
                <w:numId w:val="1"/>
              </w:numPr>
              <w:spacing w:line="480" w:lineRule="exact"/>
              <w:rPr>
                <w:rFonts w:hint="eastAsia" w:ascii="华文楷体" w:hAnsi="华文楷体" w:eastAsia="华文楷体" w:cs="华文楷体"/>
                <w:color w:val="auto"/>
                <w:spacing w:val="7"/>
                <w:sz w:val="24"/>
                <w:szCs w:val="24"/>
                <w:u w:val="none"/>
                <w:lang w:val="en-US" w:eastAsia="zh-CN"/>
              </w:rPr>
            </w:pPr>
            <w:r>
              <w:rPr>
                <w:rFonts w:hint="eastAsia" w:ascii="华文楷体" w:hAnsi="华文楷体" w:eastAsia="华文楷体" w:cs="华文楷体"/>
                <w:color w:val="auto"/>
                <w:spacing w:val="7"/>
                <w:sz w:val="24"/>
                <w:szCs w:val="24"/>
                <w:u w:val="none"/>
                <w:lang w:val="en-US" w:eastAsia="zh-CN"/>
              </w:rPr>
              <w:t>供应企业材料：</w:t>
            </w:r>
          </w:p>
          <w:p w14:paraId="06404B10">
            <w:pPr>
              <w:numPr>
                <w:ilvl w:val="0"/>
                <w:numId w:val="0"/>
              </w:numPr>
              <w:spacing w:line="480" w:lineRule="exact"/>
              <w:ind w:firstLine="508" w:firstLineChars="200"/>
              <w:rPr>
                <w:rFonts w:hint="eastAsia" w:ascii="华文楷体" w:hAnsi="华文楷体" w:eastAsia="华文楷体" w:cs="华文楷体"/>
                <w:color w:val="auto"/>
                <w:spacing w:val="7"/>
                <w:sz w:val="24"/>
                <w:szCs w:val="24"/>
                <w:u w:val="none"/>
                <w:lang w:val="en-US" w:eastAsia="zh-CN"/>
              </w:rPr>
            </w:pPr>
            <w:r>
              <w:rPr>
                <w:rFonts w:hint="eastAsia" w:ascii="华文楷体" w:hAnsi="华文楷体" w:eastAsia="华文楷体" w:cs="华文楷体"/>
                <w:color w:val="auto"/>
                <w:spacing w:val="7"/>
                <w:sz w:val="24"/>
                <w:szCs w:val="24"/>
                <w:u w:val="none"/>
                <w:lang w:val="en-US" w:eastAsia="zh-CN"/>
              </w:rPr>
              <w:t>①供应企业上一年度在阿坝州配送公立医疗机构数量。</w:t>
            </w:r>
          </w:p>
          <w:p w14:paraId="069B2D60">
            <w:pPr>
              <w:numPr>
                <w:ilvl w:val="0"/>
                <w:numId w:val="0"/>
              </w:numPr>
              <w:spacing w:line="480" w:lineRule="exact"/>
              <w:ind w:firstLine="508" w:firstLineChars="200"/>
              <w:rPr>
                <w:rFonts w:hint="eastAsia" w:ascii="华文楷体" w:hAnsi="华文楷体" w:eastAsia="华文楷体" w:cs="华文楷体"/>
                <w:color w:val="auto"/>
                <w:spacing w:val="7"/>
                <w:sz w:val="24"/>
                <w:szCs w:val="24"/>
                <w:u w:val="none"/>
                <w:lang w:val="en-US" w:eastAsia="zh-CN"/>
              </w:rPr>
            </w:pPr>
            <w:r>
              <w:rPr>
                <w:rFonts w:hint="eastAsia" w:ascii="华文楷体" w:hAnsi="华文楷体" w:eastAsia="华文楷体" w:cs="华文楷体"/>
                <w:color w:val="auto"/>
                <w:spacing w:val="7"/>
                <w:sz w:val="24"/>
                <w:szCs w:val="24"/>
                <w:u w:val="none"/>
                <w:lang w:val="en-US" w:eastAsia="zh-CN"/>
              </w:rPr>
              <w:t>②供应企业参加本次药品招标活动前两年内，在药品购销活动中无严重违法记录或无投诉记录。</w:t>
            </w:r>
          </w:p>
          <w:p w14:paraId="1EB48510">
            <w:pPr>
              <w:numPr>
                <w:ilvl w:val="0"/>
                <w:numId w:val="0"/>
              </w:numPr>
              <w:spacing w:line="480" w:lineRule="exact"/>
              <w:ind w:firstLine="508" w:firstLineChars="200"/>
              <w:rPr>
                <w:rFonts w:hint="eastAsia" w:ascii="华文楷体" w:hAnsi="华文楷体" w:eastAsia="华文楷体" w:cs="华文楷体"/>
                <w:color w:val="auto"/>
                <w:spacing w:val="7"/>
                <w:sz w:val="24"/>
                <w:szCs w:val="24"/>
                <w:u w:val="none"/>
                <w:lang w:val="en-US" w:eastAsia="zh-CN"/>
              </w:rPr>
            </w:pPr>
            <w:r>
              <w:rPr>
                <w:rFonts w:hint="eastAsia" w:ascii="华文楷体" w:hAnsi="华文楷体" w:eastAsia="华文楷体" w:cs="华文楷体"/>
                <w:color w:val="auto"/>
                <w:spacing w:val="7"/>
                <w:sz w:val="24"/>
                <w:szCs w:val="24"/>
                <w:u w:val="none"/>
                <w:lang w:val="en-US" w:eastAsia="zh-CN"/>
              </w:rPr>
              <w:t>③供应企业未被列入当前《全国医药价格和招采失信企业风险警示名单》。</w:t>
            </w:r>
          </w:p>
          <w:p w14:paraId="3F4606AD">
            <w:pPr>
              <w:numPr>
                <w:ilvl w:val="0"/>
                <w:numId w:val="0"/>
              </w:numPr>
              <w:spacing w:line="480" w:lineRule="exact"/>
              <w:ind w:firstLine="508" w:firstLineChars="200"/>
              <w:rPr>
                <w:rFonts w:hint="eastAsia" w:ascii="华文楷体" w:hAnsi="华文楷体" w:eastAsia="华文楷体" w:cs="华文楷体"/>
                <w:color w:val="auto"/>
                <w:spacing w:val="7"/>
                <w:sz w:val="24"/>
                <w:szCs w:val="24"/>
                <w:u w:val="none"/>
                <w:lang w:val="en-US" w:eastAsia="zh-CN"/>
              </w:rPr>
            </w:pPr>
            <w:r>
              <w:rPr>
                <w:rFonts w:hint="eastAsia" w:ascii="华文楷体" w:hAnsi="华文楷体" w:eastAsia="华文楷体" w:cs="华文楷体"/>
                <w:color w:val="auto"/>
                <w:spacing w:val="7"/>
                <w:sz w:val="24"/>
                <w:szCs w:val="24"/>
                <w:u w:val="none"/>
                <w:lang w:val="en-US" w:eastAsia="zh-CN"/>
              </w:rPr>
              <w:t>④供应企业对药品的质量负责，一旦中选，作为供应保障的第一责任人，及时、足量按要求配送药品，满足医疗机构临床用药需求。出现药品有质量问题、数量短少、破损等，所造成的损失由企业全部承担。（承诺材料）</w:t>
            </w:r>
          </w:p>
          <w:p w14:paraId="3F9D6DC4">
            <w:pPr>
              <w:numPr>
                <w:ilvl w:val="0"/>
                <w:numId w:val="0"/>
              </w:numPr>
              <w:spacing w:line="480" w:lineRule="exact"/>
              <w:ind w:firstLine="508" w:firstLineChars="200"/>
              <w:rPr>
                <w:rFonts w:hint="eastAsia" w:ascii="华文楷体" w:hAnsi="华文楷体" w:eastAsia="华文楷体" w:cs="华文楷体"/>
                <w:color w:val="auto"/>
                <w:spacing w:val="7"/>
                <w:sz w:val="24"/>
                <w:szCs w:val="24"/>
                <w:u w:val="none"/>
                <w:lang w:val="en-US" w:eastAsia="zh-CN"/>
              </w:rPr>
            </w:pPr>
            <w:r>
              <w:rPr>
                <w:rFonts w:hint="eastAsia" w:ascii="华文楷体" w:hAnsi="华文楷体" w:eastAsia="华文楷体" w:cs="华文楷体"/>
                <w:color w:val="auto"/>
                <w:spacing w:val="7"/>
                <w:sz w:val="24"/>
                <w:szCs w:val="24"/>
                <w:u w:val="none"/>
                <w:lang w:val="en-US" w:eastAsia="zh-CN"/>
              </w:rPr>
              <w:t>⑤对近效期药品，供应企业能积极退、换货。（承诺材料）</w:t>
            </w:r>
          </w:p>
          <w:p w14:paraId="3AE386AE">
            <w:pPr>
              <w:numPr>
                <w:ilvl w:val="0"/>
                <w:numId w:val="0"/>
              </w:numPr>
              <w:spacing w:line="480" w:lineRule="exact"/>
              <w:ind w:firstLine="508" w:firstLineChars="200"/>
              <w:rPr>
                <w:rFonts w:hint="eastAsia" w:ascii="华文楷体" w:hAnsi="华文楷体" w:eastAsia="华文楷体" w:cs="华文楷体"/>
                <w:color w:val="auto"/>
                <w:spacing w:val="7"/>
                <w:sz w:val="24"/>
                <w:szCs w:val="24"/>
                <w:u w:val="none"/>
                <w:lang w:val="en-US" w:eastAsia="zh-CN"/>
              </w:rPr>
            </w:pPr>
            <w:r>
              <w:rPr>
                <w:rFonts w:hint="eastAsia" w:ascii="华文楷体" w:hAnsi="华文楷体" w:eastAsia="华文楷体" w:cs="华文楷体"/>
                <w:color w:val="auto"/>
                <w:spacing w:val="7"/>
                <w:sz w:val="24"/>
                <w:szCs w:val="24"/>
                <w:u w:val="none"/>
                <w:lang w:val="en-US" w:eastAsia="zh-CN"/>
              </w:rPr>
              <w:t>⑥出现问题，企业人员能在24小时内解决问题。（承诺材料）</w:t>
            </w:r>
          </w:p>
          <w:p w14:paraId="2A94AFC8">
            <w:pPr>
              <w:numPr>
                <w:ilvl w:val="0"/>
                <w:numId w:val="0"/>
              </w:numPr>
              <w:spacing w:line="480" w:lineRule="exact"/>
              <w:ind w:firstLine="508" w:firstLineChars="200"/>
              <w:rPr>
                <w:rFonts w:hint="eastAsia" w:ascii="仿宋" w:hAnsi="仿宋" w:eastAsia="仿宋" w:cs="仿宋"/>
                <w:color w:val="auto"/>
                <w:spacing w:val="7"/>
                <w:sz w:val="24"/>
                <w:szCs w:val="24"/>
                <w:u w:val="none"/>
                <w:lang w:val="en-US" w:eastAsia="zh-CN"/>
              </w:rPr>
            </w:pPr>
            <w:r>
              <w:rPr>
                <w:rFonts w:hint="eastAsia" w:ascii="华文楷体" w:hAnsi="华文楷体" w:eastAsia="华文楷体" w:cs="华文楷体"/>
                <w:color w:val="auto"/>
                <w:spacing w:val="7"/>
                <w:sz w:val="24"/>
                <w:szCs w:val="24"/>
                <w:u w:val="none"/>
                <w:lang w:val="en-US" w:eastAsia="zh-CN"/>
              </w:rPr>
              <w:t>⑦供应企业参与阿坝州地区慈善活动情况。</w:t>
            </w:r>
          </w:p>
        </w:tc>
      </w:tr>
    </w:tbl>
    <w:p w14:paraId="02F5EB65">
      <w:pPr>
        <w:spacing w:line="480" w:lineRule="exact"/>
        <w:rPr>
          <w:rFonts w:hint="eastAsia" w:ascii="华文楷体" w:hAnsi="华文楷体" w:eastAsia="华文楷体" w:cs="华文楷体"/>
          <w:color w:val="000000" w:themeColor="text1"/>
          <w:kern w:val="0"/>
          <w:sz w:val="29"/>
          <w:szCs w:val="29"/>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2BCC4A"/>
    <w:multiLevelType w:val="singleLevel"/>
    <w:tmpl w:val="492BCC4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I3NDQ3M2ZlMjRlNWU3ODRjYjI5YmU2MTAyNzI0Y2UifQ=="/>
  </w:docVars>
  <w:rsids>
    <w:rsidRoot w:val="00D376DF"/>
    <w:rsid w:val="00111EB0"/>
    <w:rsid w:val="001D3EF0"/>
    <w:rsid w:val="00286D38"/>
    <w:rsid w:val="00307492"/>
    <w:rsid w:val="0033794A"/>
    <w:rsid w:val="0036535A"/>
    <w:rsid w:val="003D0B53"/>
    <w:rsid w:val="0044353A"/>
    <w:rsid w:val="004B599B"/>
    <w:rsid w:val="004D2BD0"/>
    <w:rsid w:val="00622088"/>
    <w:rsid w:val="00632405"/>
    <w:rsid w:val="00672D3D"/>
    <w:rsid w:val="00677200"/>
    <w:rsid w:val="007B7889"/>
    <w:rsid w:val="00863C0D"/>
    <w:rsid w:val="00951C80"/>
    <w:rsid w:val="009A7BB5"/>
    <w:rsid w:val="00A108CD"/>
    <w:rsid w:val="00A30634"/>
    <w:rsid w:val="00A31AA1"/>
    <w:rsid w:val="00A34C0D"/>
    <w:rsid w:val="00B07701"/>
    <w:rsid w:val="00C25173"/>
    <w:rsid w:val="00C55A9F"/>
    <w:rsid w:val="00D376DF"/>
    <w:rsid w:val="00DB2D1A"/>
    <w:rsid w:val="00E4408A"/>
    <w:rsid w:val="00E526F9"/>
    <w:rsid w:val="00EF5B25"/>
    <w:rsid w:val="00F05717"/>
    <w:rsid w:val="00F82115"/>
    <w:rsid w:val="00FA41AE"/>
    <w:rsid w:val="00FF4B50"/>
    <w:rsid w:val="020555E0"/>
    <w:rsid w:val="16860662"/>
    <w:rsid w:val="202933A0"/>
    <w:rsid w:val="3FD5015D"/>
    <w:rsid w:val="46EC2949"/>
    <w:rsid w:val="4A344C57"/>
    <w:rsid w:val="4AB03CA6"/>
    <w:rsid w:val="4BC66C00"/>
    <w:rsid w:val="51440FC0"/>
    <w:rsid w:val="733A39D7"/>
    <w:rsid w:val="76580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basedOn w:val="8"/>
    <w:link w:val="2"/>
    <w:semiHidden/>
    <w:qFormat/>
    <w:uiPriority w:val="99"/>
    <w:rPr>
      <w:sz w:val="18"/>
      <w:szCs w:val="18"/>
    </w:rPr>
  </w:style>
  <w:style w:type="character" w:customStyle="1" w:styleId="10">
    <w:name w:val="页眉 字符"/>
    <w:basedOn w:val="8"/>
    <w:link w:val="4"/>
    <w:qFormat/>
    <w:uiPriority w:val="99"/>
    <w:rPr>
      <w:sz w:val="18"/>
      <w:szCs w:val="18"/>
    </w:rPr>
  </w:style>
  <w:style w:type="character" w:customStyle="1" w:styleId="11">
    <w:name w:val="页脚 字符"/>
    <w:basedOn w:val="8"/>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1076</Words>
  <Characters>1093</Characters>
  <Lines>3</Lines>
  <Paragraphs>1</Paragraphs>
  <TotalTime>4</TotalTime>
  <ScaleCrop>false</ScaleCrop>
  <LinksUpToDate>false</LinksUpToDate>
  <CharactersWithSpaces>1093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2021-03-09T05:36:00Z</dcterms:created>
  <dc:creator>Xiong sarah</dc:creator>
  <cp:lastModifiedBy>康</cp:lastModifiedBy>
  <cp:lastPrinted>2024-08-07T08:25:00Z</cp:lastPrinted>
  <dcterms:modified xsi:type="dcterms:W3CDTF">2025-08-27T09:21:22Z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D1432F97E00D46B88DA6B975678DCAFE_13</vt:lpwstr>
  </property>
  <property fmtid="{D5CDD505-2E9C-101B-9397-08002B2CF9AE}" pid="4" name="KSOTemplateDocerSaveRecord">
    <vt:lpwstr>eyJoZGlkIjoiNGNkMjg3ZWVmYmIxMzUxZmQxMmU3OTk2MmM0OTc0ODIiLCJ1c2VySWQiOiIyNTU4OTUyNzQifQ==</vt:lpwstr>
  </property>
</Properties>
</file>